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номер 3</w:t>
      </w:r>
    </w:p>
    <w:p w14:paraId="04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Уровень 1</w:t>
      </w:r>
    </w:p>
    <w:p w14:paraId="05000000">
      <w:pPr>
        <w:pStyle w:val="Style_1"/>
        <w:ind/>
        <w:jc w:val="center"/>
        <w:rPr>
          <w:rFonts w:ascii="Times New Roman" w:hAnsi="Times New Roman"/>
        </w:rPr>
      </w:pPr>
      <w:r>
        <w:t>Задания к части 1</w:t>
      </w:r>
    </w:p>
    <w:p w14:paraId="06000000">
      <w:pPr>
        <w:pStyle w:val="Style_1"/>
        <w:numPr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Изменение параметра сглаживания с 3 до 0 влияет на вид графика, так как удаляет эффект сглаживания, позволяя лучше визуализировать краткосрочные колебания и пиковые значения. В результате график  отражает все колебания частоты слов, а не только общую тенденцию. Это может помочь выявить внезапные изменения в языке или культурные влияния на использование этих слов.</w:t>
      </w:r>
    </w:p>
    <w:p w14:paraId="07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270743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2707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30641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33064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393367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33933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1"/>
        <w:ind/>
        <w:jc w:val="center"/>
        <w:rPr>
          <w:rFonts w:ascii="Times New Roman" w:hAnsi="Times New Roman"/>
        </w:rPr>
      </w:pPr>
      <w:r>
        <w:drawing>
          <wp:inline>
            <wp:extent cx="6264372" cy="3411736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34117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pStyle w:val="Style_1"/>
        <w:ind/>
        <w:jc w:val="center"/>
        <w:rPr>
          <w:rFonts w:ascii="Times New Roman" w:hAnsi="Times New Roman"/>
        </w:rPr>
      </w:pPr>
    </w:p>
    <w:p w14:paraId="0C000000">
      <w:pPr>
        <w:pStyle w:val="Style_1"/>
        <w:numPr>
          <w:numId w:val="1"/>
        </w:numPr>
        <w:ind/>
        <w:jc w:val="both"/>
        <w:rPr>
          <w:rFonts w:ascii="Times New Roman" w:hAnsi="Times New Roman"/>
        </w:rPr>
      </w:pPr>
      <w:r>
        <w:t xml:space="preserve">McDonald </w:t>
      </w:r>
      <w:r>
        <w:rPr>
          <w:rFonts w:ascii="Times New Roman" w:hAnsi="Times New Roman"/>
        </w:rPr>
        <w:t xml:space="preserve">часто встречается как  в корпусе </w:t>
      </w:r>
      <w:r>
        <w:t>американского английского, так и в корпусе британского.</w:t>
      </w:r>
    </w:p>
    <w:p w14:paraId="0D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.</w:t>
      </w:r>
      <w:r>
        <w:drawing>
          <wp:inline>
            <wp:extent cx="6553201" cy="356615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553201" cy="35661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346997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372" cy="34699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  <w:numPr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Глагольная форма "run" преобладает в обоих корпуса английского языка.</w:t>
      </w:r>
    </w:p>
    <w:p w14:paraId="10000000">
      <w:pPr>
        <w:pStyle w:val="Style_1"/>
        <w:ind/>
        <w:jc w:val="both"/>
        <w:rPr>
          <w:rFonts w:ascii="Times New Roman" w:hAnsi="Times New Roman"/>
          <w:sz w:val="28"/>
        </w:rPr>
      </w:pPr>
      <w:r>
        <w:drawing>
          <wp:inline>
            <wp:extent cx="6264274" cy="365151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274" cy="36515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407122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407122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3599331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264274" cy="359933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377987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64274" cy="37798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2926692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264274" cy="292669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2830551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264274" cy="28305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numPr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Самое популярное продолжение фразы в двух языках as a result of the war.</w:t>
      </w:r>
    </w:p>
    <w:p w14:paraId="12000000">
      <w:pPr>
        <w:pStyle w:val="Style_1"/>
        <w:numPr>
          <w:numId w:val="1"/>
        </w:numPr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Слово play чаще всего употребляется в форме playing.</w:t>
      </w:r>
    </w:p>
    <w:p w14:paraId="13000000">
      <w:pPr>
        <w:pStyle w:val="Style_1"/>
        <w:ind/>
        <w:jc w:val="both"/>
        <w:rPr>
          <w:rFonts w:ascii="Times New Roman" w:hAnsi="Times New Roman"/>
          <w:sz w:val="28"/>
        </w:rPr>
      </w:pPr>
      <w:r>
        <w:drawing>
          <wp:inline>
            <wp:extent cx="6264274" cy="3160594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264274" cy="31605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15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Задания к части 2</w:t>
      </w:r>
    </w:p>
    <w:p w14:paraId="16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Знакомство со </w:t>
      </w:r>
      <w:r>
        <w:rPr>
          <w:rFonts w:ascii="Times New Roman" w:hAnsi="Times New Roman"/>
          <w:sz w:val="28"/>
        </w:rPr>
        <w:t>SkeLL</w:t>
      </w:r>
    </w:p>
    <w:p w14:paraId="17000000">
      <w:pPr>
        <w:pStyle w:val="Style_1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Word sketch генерирует краткий и информативный профиль слова, показывая наиболее типичные грамматические отношения и сочетания слов в корпусе. Он отображает, какие глаголы, прилагательные, существительные и другие части речи часто встречаются вместе с заданным словом.</w:t>
      </w:r>
    </w:p>
    <w:p w14:paraId="18000000">
      <w:pPr>
        <w:pStyle w:val="Style_1"/>
        <w:ind/>
        <w:jc w:val="left"/>
        <w:rPr>
          <w:rFonts w:ascii="Times New Roman" w:hAnsi="Times New Roman"/>
          <w:sz w:val="28"/>
        </w:rPr>
      </w:pPr>
      <w:r>
        <w:drawing>
          <wp:inline>
            <wp:extent cx="2392888" cy="4381882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392888" cy="4381882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400509" cy="3856056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2400509" cy="385605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606267" cy="3917021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2606267" cy="39170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1"/>
        <w:ind/>
        <w:jc w:val="left"/>
        <w:rPr>
          <w:rFonts w:ascii="Times New Roman" w:hAnsi="Times New Roman"/>
          <w:sz w:val="28"/>
        </w:rPr>
      </w:pPr>
      <w:r>
        <w:drawing>
          <wp:inline>
            <wp:extent cx="2568163" cy="3840814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2568163" cy="38408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Изучение лексики: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помогает учащимся быстро понять, как слово используется в реальном контексте и с какими словами оно часто сочетается.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Составление текстов: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позволяет писателям и переводчикам выбирать наиболее подходящие слова и фразы для выражения своих мыслей.</w:t>
      </w:r>
    </w:p>
    <w:p w14:paraId="1B000000">
      <w:pPr>
        <w:pStyle w:val="Style_1"/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Похожие слова -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инструмент находит слова, которые часто используются в похожих контекстах,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даже если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они не являются прямыми синонимами. Он использует статистические методы для анализа контекстного окружения слов.</w:t>
      </w:r>
    </w:p>
    <w:p w14:paraId="1C000000">
      <w:pPr>
        <w:pStyle w:val="Style_1"/>
        <w:ind/>
        <w:jc w:val="left"/>
        <w:rPr>
          <w:rFonts w:ascii="Times New Roman" w:hAnsi="Times New Roman"/>
          <w:sz w:val="28"/>
        </w:rPr>
      </w:pPr>
      <w:r>
        <w:drawing>
          <wp:inline>
            <wp:extent cx="2461474" cy="3734125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2461474" cy="373412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187130" cy="2095682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2187130" cy="20956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Расширение с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  <w:highlight w:val="white"/>
        </w:rPr>
        <w:t>ловарного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 запаса: помогает находить слова, которые выражают близкие, но не идентичные значения.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Анализ семантических полей: позволяет изучать, как разные слова связаны друг с другом в языке.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Пример с «обучением»: может предложить слова «образование», «переподготовка», «повышение квалификации», «стажировка», «курсы».</w:t>
      </w:r>
    </w:p>
    <w:p w14:paraId="1D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2362405" cy="4557157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2362405" cy="45571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br/>
      </w:r>
    </w:p>
    <w:sectPr>
      <w:footerReference r:id="rId1" w:type="default"/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  <w:p w14:paraId="02000000"/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8" Target="numbering.xml" Type="http://schemas.openxmlformats.org/officeDocument/2006/relationships/numbering"/>
  <Relationship Id="rId24" Target="styles.xml" Type="http://schemas.openxmlformats.org/officeDocument/2006/relationships/styles"/>
  <Relationship Id="rId23" Target="settings.xml" Type="http://schemas.openxmlformats.org/officeDocument/2006/relationships/settings"/>
  <Relationship Id="rId27" Target="theme/theme1.xml" Type="http://schemas.openxmlformats.org/officeDocument/2006/relationships/theme"/>
  <Relationship Id="rId21" Target="media/20.png" Type="http://schemas.openxmlformats.org/officeDocument/2006/relationships/image"/>
  <Relationship Id="rId19" Target="media/18.png" Type="http://schemas.openxmlformats.org/officeDocument/2006/relationships/image"/>
  <Relationship Id="rId18" Target="media/17.png" Type="http://schemas.openxmlformats.org/officeDocument/2006/relationships/image"/>
  <Relationship Id="rId17" Target="media/16.png" Type="http://schemas.openxmlformats.org/officeDocument/2006/relationships/image"/>
  <Relationship Id="rId15" Target="media/14.png" Type="http://schemas.openxmlformats.org/officeDocument/2006/relationships/image"/>
  <Relationship Id="rId11" Target="media/10.png" Type="http://schemas.openxmlformats.org/officeDocument/2006/relationships/image"/>
  <Relationship Id="rId16" Target="media/15.png" Type="http://schemas.openxmlformats.org/officeDocument/2006/relationships/image"/>
  <Relationship Id="rId22" Target="fontTable.xml" Type="http://schemas.openxmlformats.org/officeDocument/2006/relationships/fontTable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13" Target="media/12.png" Type="http://schemas.openxmlformats.org/officeDocument/2006/relationships/image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26" Target="webSettings.xml" Type="http://schemas.openxmlformats.org/officeDocument/2006/relationships/webSettings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5" Target="stylesWithEffects.xml" Type="http://schemas.microsoft.com/office/2007/relationships/stylesWithEffects"/>
  <Relationship Id="rId2" Target="media/1.png" Type="http://schemas.openxmlformats.org/officeDocument/2006/relationships/image"/>
  <Relationship Id="rId20" Target="media/19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2025-03-01T20:56:56Z</dcterms:modified>
</cp:coreProperties>
</file>