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pStyle w:val="Style_1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Уровни 2, 3</w:t>
      </w:r>
    </w:p>
    <w:p w14:paraId="03000000">
      <w:pPr>
        <w:pStyle w:val="Style_1"/>
        <w:numPr>
          <w:numId w:val="1"/>
        </w:numPr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Для выполнения задания выбрала один текст написанный человеком, а </w:t>
      </w:r>
      <w:r>
        <w:rPr>
          <w:rFonts w:ascii="Times New Roman" w:hAnsi="Times New Roman"/>
          <w:color w:val="000000"/>
          <w:sz w:val="28"/>
        </w:rPr>
        <w:t>другой нейросетью.</w:t>
      </w:r>
    </w:p>
    <w:p w14:paraId="04000000">
      <w:pPr>
        <w:pStyle w:val="Style_1"/>
        <w:ind/>
        <w:jc w:val="both"/>
        <w:rPr>
          <w:rFonts w:ascii="Times New Roman" w:hAnsi="Times New Roman"/>
          <w:b w:val="0"/>
          <w:sz w:val="28"/>
          <w:u w:val="none"/>
        </w:rPr>
      </w:pPr>
      <w:r>
        <w:rPr>
          <w:rFonts w:ascii="Times New Roman" w:hAnsi="Times New Roman"/>
          <w:b w:val="0"/>
          <w:i w:val="0"/>
          <w:caps w:val="0"/>
          <w:spacing w:val="0"/>
          <w:sz w:val="28"/>
        </w:rPr>
        <w:t>Когда человек сознательно или интуитивно выбирает себе в жизни какую-то цель, жизненную задачу, он невольно дает себе оценку. По тому, ради чего человек живет, можно судить и о его самооценке - низкой или высокой.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spacing w:val="0"/>
          <w:sz w:val="28"/>
        </w:rPr>
        <w:t>Если человек живет, чтобы приносить людям добро, облегчать их страдания, давать людям радость, то он оценивает себя на уровне этой своей человечности. Он ставит себе цель, достойную человека.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spacing w:val="0"/>
          <w:sz w:val="28"/>
        </w:rPr>
        <w:t>Только такая цель позволяет человеку прожить свою жизнь с достоинством и получить настоящую радость. Да, радость! Подумайте: если человек ставит себе задачей увеличивать в жизни добро, приносить людям счастье, какие неудачи могут его постигнуть? Не тому помочь? Но много ли людей не нуждаются в помощи?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spacing w:val="0"/>
          <w:sz w:val="28"/>
        </w:rPr>
        <w:t>Если жить только для себя, своими мелкими заботами о собственном благополучии, то от прожитого не останется и следа. Если же жить для других, то другие сберегут то, чему служил, чему отдавал силы.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spacing w:val="0"/>
          <w:sz w:val="28"/>
        </w:rPr>
        <w:t>Можно по-разному определять цель своего существования, но цель должна быть. Надо иметь и принципы в жизни. Одно правило в жизни должно быть у каждого человека, в его цели жизни, в его принципах жизни, в его поведении: надо прожить жизнь с достоинством, чтобы не стыдно было вспоминать.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spacing w:val="0"/>
          <w:sz w:val="28"/>
        </w:rPr>
        <w:t>Достоинство требует доброты, великодушия, умения не быть эгоистом, быть правдивым, хорошим другом, находить радость в помощи другим.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spacing w:val="0"/>
          <w:sz w:val="28"/>
        </w:rPr>
        <w:t>Ради достоинства жизни надо уметь отказываться от мелких удовольствий и немалых тоже… Уметь извиняться, признавать перед другими ошибку - лучше, чем врать.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spacing w:val="0"/>
          <w:sz w:val="28"/>
        </w:rPr>
        <w:t>Обманывая, человек прежде всего обманывает самого себя, ибо он думает, что успешно соврал, а люди поняли и из деликатности промолчали.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spacing w:val="0"/>
          <w:sz w:val="28"/>
        </w:rPr>
        <w:t>Жизнь - прежде всего творчество, но это не значит, что каждый человек, чтобы жить, должен родиться художником, балериной или ученым. Можно творить просто добрую атмосферу вокруг себя. Человек может принести с собой атмосферу подозрительности, какого-то тягостного молчания, а может внести сразу радость, свет. Вот это и есть творчество.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spacing w:val="0"/>
          <w:sz w:val="28"/>
        </w:rPr>
        <w:t> </w:t>
      </w:r>
      <w:r>
        <w:rPr>
          <w:rFonts w:ascii="Times New Roman" w:hAnsi="Times New Roman"/>
          <w:b w:val="0"/>
          <w:sz w:val="28"/>
          <w:u w:val="none"/>
        </w:rPr>
        <w:t>(Человек)</w:t>
      </w:r>
    </w:p>
    <w:p w14:paraId="05000000">
      <w:pPr>
        <w:pStyle w:val="Style_1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В последние десятилетия экология стала одной из самых актуальных тем на мировой арене. Изменение климата, загрязнение окружающей среды и утрата биологического разнообразия — все эти проблемы требуют незамедлительных действий. Люди начинают осознавать важность защиты природы и стремятся внести свой вклад в сохранение планеты. Различные движения и организации по всему миру призывают к сокращению использования пластика, переходу на возобновляемые источники энергии и охране редких видов животных. Индивидуальные усилия, такие как сортировка отходов, использование общественного транспорта и поддержка устойчивого сельского хозяйства, могут существенно повлиять на ситуацию. Каждый шаг имеет значение, и вместе мы можем создать более чистое и безопасное будущее для нас и будущих поколений. Важно помнить, что забота о планете — это не только обязанность, но и привилегия, позволяющая нам наслаждаться ее красотой и щедротами.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val="none"/>
        </w:rPr>
        <w:t>(Нейросеть)</w:t>
      </w:r>
    </w:p>
    <w:p w14:paraId="06000000">
      <w:pPr>
        <w:pStyle w:val="Style_1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Проанализировала частотное распределение слов в обоих текстах сс использованием закона Ципфа. Для этого воспользовалась ресурсами, такими как PR-CY.</w:t>
      </w:r>
    </w:p>
    <w:p w14:paraId="07000000">
      <w:pPr>
        <w:pStyle w:val="Style_1"/>
        <w:ind/>
        <w:jc w:val="both"/>
        <w:rPr>
          <w:rFonts w:ascii="Times New Roman" w:hAnsi="Times New Roman"/>
          <w:sz w:val="28"/>
        </w:rPr>
      </w:pPr>
    </w:p>
    <w:p w14:paraId="08000000">
      <w:pPr>
        <w:pStyle w:val="Style_1"/>
        <w:ind/>
        <w:jc w:val="both"/>
        <w:rPr>
          <w:rFonts w:ascii="Times New Roman" w:hAnsi="Times New Roman"/>
          <w:sz w:val="28"/>
        </w:rPr>
      </w:pPr>
      <w:r>
        <w:drawing>
          <wp:inline>
            <wp:extent cx="6264274" cy="3521804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274" cy="352180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9000000">
      <w:pPr>
        <w:pStyle w:val="Style_1"/>
        <w:ind/>
        <w:jc w:val="both"/>
        <w:rPr>
          <w:rFonts w:ascii="Times New Roman" w:hAnsi="Times New Roman"/>
          <w:sz w:val="28"/>
        </w:rPr>
      </w:pPr>
    </w:p>
    <w:p w14:paraId="0A000000">
      <w:pPr>
        <w:pStyle w:val="Style_1"/>
        <w:ind/>
        <w:jc w:val="both"/>
        <w:rPr>
          <w:rFonts w:ascii="Times New Roman" w:hAnsi="Times New Roman"/>
          <w:sz w:val="28"/>
        </w:rPr>
      </w:pPr>
    </w:p>
    <w:p w14:paraId="0B000000">
      <w:pPr>
        <w:pStyle w:val="Style_1"/>
        <w:ind/>
        <w:jc w:val="both"/>
        <w:rPr>
          <w:rFonts w:ascii="Times New Roman" w:hAnsi="Times New Roman"/>
          <w:sz w:val="28"/>
        </w:rPr>
      </w:pPr>
    </w:p>
    <w:p w14:paraId="0C000000">
      <w:pPr>
        <w:pStyle w:val="Style_1"/>
        <w:ind/>
        <w:jc w:val="both"/>
        <w:rPr>
          <w:rFonts w:ascii="Times New Roman" w:hAnsi="Times New Roman"/>
          <w:sz w:val="28"/>
        </w:rPr>
      </w:pPr>
    </w:p>
    <w:p w14:paraId="0D000000">
      <w:pPr>
        <w:pStyle w:val="Style_1"/>
        <w:ind/>
        <w:jc w:val="both"/>
        <w:rPr>
          <w:rFonts w:ascii="Times New Roman" w:hAnsi="Times New Roman"/>
          <w:sz w:val="28"/>
        </w:rPr>
      </w:pPr>
    </w:p>
    <w:p w14:paraId="0E000000">
      <w:pPr>
        <w:pStyle w:val="Style_1"/>
        <w:ind/>
        <w:jc w:val="both"/>
        <w:rPr>
          <w:rFonts w:ascii="Times New Roman" w:hAnsi="Times New Roman"/>
          <w:sz w:val="28"/>
        </w:rPr>
      </w:pPr>
    </w:p>
    <w:p w14:paraId="0F000000">
      <w:pPr>
        <w:pStyle w:val="Style_1"/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6264274" cy="3523654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264274" cy="352365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00000">
      <w:pPr>
        <w:pStyle w:val="Style_1"/>
        <w:ind/>
        <w:jc w:val="both"/>
        <w:rPr>
          <w:rFonts w:ascii="Times New Roman" w:hAnsi="Times New Roman"/>
          <w:sz w:val="28"/>
        </w:rPr>
      </w:pPr>
    </w:p>
    <w:p w14:paraId="11000000">
      <w:pPr>
        <w:pStyle w:val="Style_1"/>
        <w:ind/>
        <w:jc w:val="both"/>
        <w:rPr>
          <w:rFonts w:ascii="Times New Roman" w:hAnsi="Times New Roman"/>
          <w:sz w:val="28"/>
        </w:rPr>
      </w:pPr>
    </w:p>
    <w:p w14:paraId="12000000">
      <w:pPr>
        <w:pStyle w:val="Style_1"/>
        <w:ind/>
        <w:jc w:val="center"/>
        <w:rPr>
          <w:rFonts w:ascii="Times New Roman" w:hAnsi="Times New Roman"/>
          <w:sz w:val="28"/>
        </w:rPr>
      </w:pPr>
    </w:p>
    <w:p w14:paraId="13000000">
      <w:pPr>
        <w:pStyle w:val="Style_1"/>
        <w:ind/>
        <w:jc w:val="center"/>
        <w:rPr>
          <w:rFonts w:ascii="Times New Roman" w:hAnsi="Times New Roman"/>
          <w:sz w:val="28"/>
        </w:rPr>
      </w:pPr>
    </w:p>
    <w:p w14:paraId="14000000">
      <w:pPr>
        <w:pStyle w:val="Style_1"/>
        <w:ind/>
        <w:jc w:val="center"/>
        <w:rPr>
          <w:rFonts w:ascii="Times New Roman" w:hAnsi="Times New Roman"/>
          <w:sz w:val="28"/>
        </w:rPr>
      </w:pPr>
    </w:p>
    <w:p w14:paraId="15000000">
      <w:pPr>
        <w:pStyle w:val="Style_1"/>
        <w:ind/>
        <w:jc w:val="center"/>
        <w:rPr>
          <w:rFonts w:ascii="Times New Roman" w:hAnsi="Times New Roman"/>
          <w:sz w:val="28"/>
        </w:rPr>
      </w:pPr>
    </w:p>
    <w:p w14:paraId="16000000">
      <w:pPr>
        <w:pStyle w:val="Style_1"/>
        <w:ind/>
        <w:jc w:val="center"/>
        <w:rPr>
          <w:rFonts w:ascii="Times New Roman" w:hAnsi="Times New Roman"/>
          <w:sz w:val="28"/>
        </w:rPr>
      </w:pPr>
    </w:p>
    <w:p w14:paraId="17000000">
      <w:pPr>
        <w:pStyle w:val="Style_1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того чтобы построить гистограммы, я нашла частоту слов с помощью сайта </w:t>
      </w:r>
      <w:r>
        <w:t xml:space="preserve"> </w:t>
      </w:r>
      <w:r>
        <w:rPr>
          <w:rStyle w:val="Style_2_ch"/>
        </w:rPr>
        <w:fldChar w:fldCharType="begin"/>
      </w:r>
      <w:r>
        <w:rPr>
          <w:rStyle w:val="Style_2_ch"/>
        </w:rPr>
        <w:instrText>HYPERLINK "https://sanstv.ru/"</w:instrText>
      </w:r>
      <w:r>
        <w:rPr>
          <w:rStyle w:val="Style_2_ch"/>
        </w:rPr>
        <w:fldChar w:fldCharType="separate"/>
      </w:r>
      <w:r>
        <w:rPr>
          <w:rStyle w:val="Style_2_ch"/>
        </w:rPr>
        <w:t>https://sanstv.ru/</w:t>
      </w:r>
      <w:r>
        <w:rPr>
          <w:rStyle w:val="Style_2_ch"/>
        </w:rPr>
        <w:fldChar w:fldCharType="end"/>
      </w:r>
      <w:r>
        <w:t xml:space="preserve"> </w:t>
      </w:r>
      <w:r>
        <w:t>и пост</w:t>
      </w:r>
      <w:r>
        <w:rPr>
          <w:rFonts w:ascii="Times New Roman" w:hAnsi="Times New Roman"/>
          <w:sz w:val="28"/>
        </w:rPr>
        <w:t xml:space="preserve">роила гистограммы с помощью </w:t>
      </w:r>
      <w:r>
        <w:rPr>
          <w:rStyle w:val="Style_2_ch"/>
        </w:rPr>
        <w:fldChar w:fldCharType="begin"/>
      </w:r>
      <w:r>
        <w:rPr>
          <w:rStyle w:val="Style_2_ch"/>
        </w:rPr>
        <w:instrText>HYPERLINK "https://anytools.pro/"</w:instrText>
      </w:r>
      <w:r>
        <w:rPr>
          <w:rStyle w:val="Style_2_ch"/>
        </w:rPr>
        <w:fldChar w:fldCharType="separate"/>
      </w:r>
      <w:r>
        <w:rPr>
          <w:rStyle w:val="Style_2_ch"/>
        </w:rPr>
        <w:t>https://anytools.pro/</w:t>
      </w:r>
      <w:r>
        <w:rPr>
          <w:rStyle w:val="Style_2_ch"/>
        </w:rPr>
        <w:fldChar w:fldCharType="end"/>
      </w:r>
      <w:r>
        <w:t xml:space="preserve"> .</w:t>
      </w:r>
    </w:p>
    <w:p w14:paraId="18000000">
      <w:pPr>
        <w:pStyle w:val="Style_1"/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6264274" cy="2644915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64274" cy="264491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9000000">
      <w:pPr>
        <w:pStyle w:val="Style_1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(текст создан человеком)</w:t>
      </w:r>
    </w:p>
    <w:p w14:paraId="1A000000">
      <w:pPr>
        <w:pStyle w:val="Style_1"/>
        <w:ind/>
        <w:jc w:val="center"/>
        <w:rPr>
          <w:rFonts w:ascii="Times New Roman" w:hAnsi="Times New Roman"/>
          <w:sz w:val="28"/>
        </w:rPr>
      </w:pPr>
    </w:p>
    <w:p w14:paraId="1B000000">
      <w:pPr>
        <w:pStyle w:val="Style_1"/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5772150" cy="276225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772150" cy="27622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C000000">
      <w:pPr>
        <w:pStyle w:val="Style_1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(текст создан нейросетью)</w:t>
      </w:r>
    </w:p>
    <w:p w14:paraId="1D000000">
      <w:pPr>
        <w:pStyle w:val="Style_1"/>
        <w:ind/>
        <w:jc w:val="both"/>
        <w:rPr>
          <w:rFonts w:ascii="Times New Roman" w:hAnsi="Times New Roman"/>
          <w:sz w:val="28"/>
        </w:rPr>
      </w:pPr>
    </w:p>
    <w:p w14:paraId="1E000000">
      <w:pPr>
        <w:pStyle w:val="Style_1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 сравнивать графики частоты слов в тексте с распределением по закону Цимфа, можно обнаружить отклонения на концах графика и гистограммы.</w:t>
      </w:r>
    </w:p>
    <w:p w14:paraId="1F000000">
      <w:pPr>
        <w:pStyle w:val="Style_1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квантативной лингвистике, помимо закона Цимфа, существуют и другие законы, такие как закон Мартина, закон Менцерата-Альтмана. Данную информацию нашла на сайтах: </w:t>
      </w:r>
      <w:r>
        <w:rPr>
          <w:rStyle w:val="Style_2_ch"/>
        </w:rPr>
        <w:fldChar w:fldCharType="begin"/>
      </w:r>
      <w:r>
        <w:rPr>
          <w:rStyle w:val="Style_2_ch"/>
        </w:rPr>
        <w:instrText>HYPERLINK "https://present5.com/lekciya-6-kvantitativnaya-lingvistika-soderzhanie-1-problematika-kvantitativnoj/"</w:instrText>
      </w:r>
      <w:r>
        <w:rPr>
          <w:rStyle w:val="Style_2_ch"/>
        </w:rPr>
        <w:fldChar w:fldCharType="separate"/>
      </w:r>
      <w:r>
        <w:rPr>
          <w:rStyle w:val="Style_2_ch"/>
        </w:rPr>
        <w:t>https://present5.com/lekciya-6-kvantitativnaya-lingvistika-soderzhanie-1-problematika-kvantitativnoj/</w:t>
      </w:r>
      <w:r>
        <w:rPr>
          <w:rStyle w:val="Style_2_ch"/>
        </w:rPr>
        <w:fldChar w:fldCharType="end"/>
      </w:r>
      <w:r>
        <w:t xml:space="preserve"> </w:t>
      </w:r>
      <w:r>
        <w:rPr>
          <w:rFonts w:ascii="Times New Roman" w:hAnsi="Times New Roman"/>
          <w:sz w:val="28"/>
        </w:rPr>
        <w:t xml:space="preserve">, </w:t>
      </w:r>
      <w:r>
        <w:rPr>
          <w:rStyle w:val="Style_2_ch"/>
        </w:rPr>
        <w:fldChar w:fldCharType="begin"/>
      </w:r>
      <w:r>
        <w:rPr>
          <w:rStyle w:val="Style_2_ch"/>
        </w:rPr>
        <w:instrText>HYPERLINK "https://ru.ruwiki.ru/wiki/Квантитативная_лингвистика"</w:instrText>
      </w:r>
      <w:r>
        <w:rPr>
          <w:rStyle w:val="Style_2_ch"/>
        </w:rPr>
        <w:fldChar w:fldCharType="separate"/>
      </w:r>
      <w:r>
        <w:rPr>
          <w:rStyle w:val="Style_2_ch"/>
        </w:rPr>
        <w:t>https://ru.ruwiki.ru/wiki/Квантитативная_лингвистика</w:t>
      </w:r>
      <w:r>
        <w:rPr>
          <w:rStyle w:val="Style_2_ch"/>
        </w:rPr>
        <w:fldChar w:fldCharType="end"/>
      </w:r>
      <w:r>
        <w:t xml:space="preserve"> .</w:t>
      </w:r>
    </w:p>
    <w:p w14:paraId="2000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1"/>
          <w:sz w:val="28"/>
          <w:highlight w:val="white"/>
        </w:rPr>
        <w:t>Закон Мартина: Этот закон касается лексических цепочек, которые образуются при поиске дефиниций (определений) слов в словаре, затем дефиниций только что найденных дефиниций и т. д. В конце концов все эти дефиниции образуют иерархию всё более и более общих значений, при этом дефиниций становится тем меньше, чем более общее значение получается. Среди уровней данной иерархии существует целый ряд подчиняющихся закону отношений.</w:t>
      </w:r>
    </w:p>
    <w:p w14:paraId="2100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1"/>
          <w:sz w:val="28"/>
          <w:highlight w:val="white"/>
        </w:rPr>
        <w:fldChar w:fldCharType="begin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1"/>
          <w:sz w:val="28"/>
          <w:highlight w:val="white"/>
        </w:rPr>
        <w:instrText>HYPERLINK "https://ru.ruwiki.ru/w/index.php?title=%D0%97%D0%B0%D0%BA%D0%BE%D0%BD_%D0%9C%D0%B5%D0%BD%D1%86%D0%B5%D1%80%D0%B0%D1%82%D0%B0&amp;action=edit&amp;redlink=1"</w:instrTex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1"/>
          <w:sz w:val="28"/>
          <w:highlight w:val="white"/>
        </w:rPr>
        <w:fldChar w:fldCharType="separate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1"/>
          <w:sz w:val="28"/>
          <w:highlight w:val="white"/>
        </w:rPr>
        <w:t>Закон Менцерата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1"/>
          <w:sz w:val="28"/>
          <w:highlight w:val="white"/>
        </w:rPr>
        <w:fldChar w:fldCharType="end"/>
      </w:r>
      <w:r>
        <w:rPr>
          <w:rFonts w:ascii="Times New Roman" w:hAnsi="Times New Roman"/>
          <w:b w:val="0"/>
          <w:i w:val="0"/>
          <w:caps w:val="0"/>
          <w:color w:val="000000"/>
          <w:spacing w:val="1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1"/>
          <w:sz w:val="28"/>
          <w:highlight w:val="white"/>
        </w:rPr>
        <w:t xml:space="preserve">(также, в особенности в лингвистике, известный как закон Менцерата-Альтмана): Данный закон гласит, что размеры составляющих конструкции уменьшаются с увеличением самой изучаемой конструкции. Чем длиннее, например, предложение (измеренное количеством входящих в его состав придаточных предложений), тем короче входящие в его состав придаточные предложения (измеренные количеством слов), или: чем длиннее </w:t>
      </w:r>
      <w:r>
        <w:rPr>
          <w:rFonts w:ascii="Times New Roman" w:hAnsi="Times New Roman"/>
          <w:b w:val="0"/>
          <w:i w:val="0"/>
          <w:caps w:val="0"/>
          <w:color w:val="000000"/>
          <w:spacing w:val="1"/>
          <w:sz w:val="28"/>
          <w:highlight w:val="white"/>
        </w:rPr>
        <w:t>слово (в слогах или морфах), тем короче слоги или их звучание.</w:t>
      </w:r>
    </w:p>
    <w:p w14:paraId="22000000">
      <w:pP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Применяя закон Мартина к данному тексту, можно сделать выводы о его лексическом составе и акцентах.</w:t>
      </w:r>
      <w:r>
        <w:rPr>
          <w:rFonts w:ascii="Times New Roman" w:hAnsi="Times New Roman"/>
          <w:color w:val="000000"/>
          <w:sz w:val="28"/>
        </w:rPr>
        <w:t xml:space="preserve"> В тексте написанном человеком можно заметить, частоту ключевых слов(цель жизни, ценности).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Это может указывать на то, что автор целенаправленно подчеркивает важные аспекты человеческого существования и отношений.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Таким образом, анализируя частотное распределение слов, можно глубже понять, как автор передает свои идеи и какие темы являются центральными в данном тексте. В тексте  написанном нейросетью можно заметить, что наиболее часто встречаются ключевые слова, связанные с экологией. Это помогает проследить главную мысль текста.</w:t>
      </w:r>
    </w:p>
    <w:p w14:paraId="23000000">
      <w:pPr>
        <w:ind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Таким образом, закон Мартина помогает анализировать текст, но не может служить методом для определения, был ли текст написан нейросетью или человеком.</w:t>
      </w:r>
    </w:p>
    <w:p w14:paraId="24000000">
      <w:pPr>
        <w:ind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</w:p>
    <w:p w14:paraId="25000000">
      <w:pPr>
        <w:ind/>
        <w:jc w:val="center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color w:val="000000"/>
          <w:sz w:val="28"/>
        </w:rPr>
        <w:br/>
      </w:r>
      <w:r>
        <w:rPr>
          <w:rFonts w:ascii="Times New Roman" w:hAnsi="Times New Roman"/>
          <w:sz w:val="28"/>
        </w:rPr>
        <w:t>уровень 2,3</w:t>
      </w:r>
    </w:p>
    <w:p w14:paraId="26000000">
      <w:pPr>
        <w:pStyle w:val="Style_1"/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>Я ознакомилась с основными принципами работы сервиса RusVectōrēs. Он имеет следующие инструменты</w:t>
      </w:r>
      <w:r>
        <w:rPr>
          <w:rFonts w:ascii="Times New Roman" w:hAnsi="Times New Roman"/>
          <w:sz w:val="28"/>
        </w:rPr>
        <w:t>:</w:t>
      </w:r>
    </w:p>
    <w:p w14:paraId="27000000">
      <w:pPr>
        <w:pStyle w:val="Style_1"/>
        <w:numPr>
          <w:numId w:val="2"/>
        </w:num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Поиск похожих слов. Данный инструмент помогает найти синонимы. Например, если вывести слово "животное", может вывести слово "питомец".</w:t>
      </w:r>
    </w:p>
    <w:p w14:paraId="28000000">
      <w:pPr>
        <w:pStyle w:val="Style_1"/>
        <w:numPr>
          <w:numId w:val="2"/>
        </w:num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Визуализация семантических связей между словами. Данный инструмент может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333333"/>
          <w:spacing w:val="0"/>
          <w:sz w:val="28"/>
          <w:highlight w:val="white"/>
        </w:rPr>
        <w:t> построить  карту  взаимного расположения введенных слов выбранной модели/моделях и отобразив двумерную проекцию этой карты. Например, модели F</w:t>
      </w:r>
      <w:r>
        <w:rPr>
          <w:rFonts w:ascii="Times New Roman" w:hAnsi="Times New Roman"/>
          <w:sz w:val="28"/>
        </w:rPr>
        <w:t>astText  могут использовать для анализа слов на уровне морфем, что позволяет учитывать различные формы слов.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Это особенно полезно для русского языка с его богатой морфологией, где слово может иметь множество форм.</w:t>
      </w:r>
    </w:p>
    <w:p w14:paraId="29000000">
      <w:pPr>
        <w:pStyle w:val="Style_1"/>
        <w:numPr>
          <w:numId w:val="2"/>
        </w:num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Вычисление семантической бл</w:t>
      </w:r>
      <w:r>
        <w:rPr>
          <w:rFonts w:ascii="Times New Roman" w:hAnsi="Times New Roman"/>
          <w:sz w:val="28"/>
        </w:rPr>
        <w:t xml:space="preserve">изости. Данный инструмент помогает найти уровень близости пары слов. Это помогает выполнять ряд задач в компьютерной лингвистике: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Создание и функционирование информационно-поисковых систем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. Алгоритмы на основе семантической близости помогают поисковикам понимать, насколько близко связаны друг с другом слова и фразы в контенте, и делать выдачу точнее. 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 • Создание вопросно-ответных систем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. Метрики семантической близости позволяют определять семантические отношения между словами и создавать инструменты автоматического понимания текстов. 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 • Автоматическая обработка текстов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. Например, разрешение многозначности фразеологизмов, встреченных в тексте.</w:t>
      </w:r>
    </w:p>
    <w:p w14:paraId="2A000000">
      <w:pPr>
        <w:numPr>
          <w:ilvl w:val="0"/>
          <w:numId w:val="2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</w:rPr>
        <w:fldChar w:fldCharType="begin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</w:rPr>
        <w:instrText>HYPERLINK "https://rusvectores.org/ru/calculator"</w:instrTex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</w:rPr>
        <w:fldChar w:fldCharType="separate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</w:rPr>
        <w:t>Решать аналогии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</w:rPr>
        <w:fldChar w:fldCharType="end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вида «найти слово </w:t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X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, которое так относится к слову </w:t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Y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, как слово </w:t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A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относится к слову </w:t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B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»</w:t>
      </w:r>
      <w:r>
        <w:rPr>
          <w:rFonts w:ascii="Times New Roman" w:hAnsi="Times New Roman"/>
          <w:color w:val="000000"/>
          <w:sz w:val="28"/>
        </w:rPr>
        <w:t>. Например, пицца – Италия, тогда Россия – это пельмени.</w:t>
      </w:r>
    </w:p>
    <w:p w14:paraId="2B000000">
      <w:pPr>
        <w:pStyle w:val="Style_1"/>
        <w:numPr>
          <w:numId w:val="2"/>
        </w:numPr>
        <w:ind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</w:rPr>
        <w:fldChar w:fldCharType="begin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</w:rPr>
        <w:instrText>HYPERLINK "https://rusvectores.org/ru/contextual"</w:instrTex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</w:rPr>
        <w:fldChar w:fldCharType="separate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</w:rPr>
        <w:t>Генерировать контекстно-зависимые лексические подстановки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</w:rPr>
        <w:fldChar w:fldCharType="end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для контекстуализированных дистрибутивных моделей. Для</w:t>
      </w:r>
      <w:r>
        <w:rPr>
          <w:rFonts w:ascii="Times New Roman" w:hAnsi="Times New Roman"/>
          <w:color w:val="000000"/>
          <w:sz w:val="28"/>
        </w:rPr>
        <w:t xml:space="preserve"> этого вводится фраза или предложение(5-15 слов), затем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генерируются контекстуализированные вектора для слов в нашем запросе. Затем для каждого такого вектора  находят наиболее похожие слова среди 10 тысяч самых частотных слов в словаре этой же модели. </w:t>
      </w:r>
    </w:p>
    <w:p w14:paraId="2C000000">
      <w:pPr>
        <w:pStyle w:val="Style_1"/>
        <w:ind/>
        <w:jc w:val="center"/>
        <w:rPr>
          <w:rFonts w:ascii="Times New Roman" w:hAnsi="Times New Roman"/>
          <w:color w:val="000000"/>
          <w:sz w:val="28"/>
        </w:rPr>
      </w:pPr>
      <w:r>
        <w:drawing>
          <wp:inline>
            <wp:extent cx="6264274" cy="201427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264274" cy="201427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000000">
      <w:pPr>
        <w:pStyle w:val="Style_1"/>
        <w:ind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color w:val="000000"/>
          <w:sz w:val="28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Выводы о применимости и эффективности инструментов дистрибутивной семантики, предлагаемых RusVectōrēs, следующие:</w:t>
      </w:r>
    </w:p>
    <w:p w14:paraId="2E000000">
      <w:pPr>
        <w:numPr>
          <w:ilvl w:val="0"/>
          <w:numId w:val="3"/>
        </w:numPr>
        <w:spacing w:after="150" w:before="0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Адаптация к специфике русского языка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: Инструменты RusVectōrēs учитывают морфологическую сложность и разнообразие русского языка, что позволяет более точно анализировать семантические связи. Это делает ресурс особенно полезным для лингвистов и специалистов в области обработки естественного языка.</w:t>
      </w:r>
    </w:p>
    <w:p w14:paraId="2F000000">
      <w:pPr>
        <w:numPr>
          <w:ilvl w:val="0"/>
          <w:numId w:val="3"/>
        </w:numPr>
        <w:spacing w:after="150" w:before="0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Широкий функционал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: Сервис предлагает разнообразные инструменты для поиска семантических отношений, анализа векторных моделей и кластеризации слов. Это позволяет пользователям проводить комплексный анализ текстов, выявлять синонимы, антонимы и другие связи между словами, а также исследовать контексты их употребления.</w:t>
      </w:r>
    </w:p>
    <w:p w14:paraId="30000000">
      <w:pPr>
        <w:numPr>
          <w:ilvl w:val="0"/>
          <w:numId w:val="3"/>
        </w:numPr>
        <w:spacing w:after="150" w:before="0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Удобство использования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: Интуитивно понятный интерфейс и доступность различных инструментов обеспечивают легкость в навигации и использовании платформы. Это делает RusVectōrēs доступным не только для профессионалов, но и для студентов и исследователей, которые могут быстро начать работу с ресурсом.</w:t>
      </w:r>
    </w:p>
    <w:p w14:paraId="31000000">
      <w:pPr>
        <w:numPr>
          <w:ilvl w:val="0"/>
          <w:numId w:val="3"/>
        </w:numPr>
        <w:spacing w:after="150" w:before="0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Поддержка научных исследований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: Инструменты RusVectōrēs могут быть успешно использованы в научных исследованиях, связанных с лексикографией, семантикой и синтаксисом, а также в проектах по машинному обучению и анализу текстов. Это делает сервис ценным ресурсом для академического сообщества.</w:t>
      </w:r>
    </w:p>
    <w:p w14:paraId="32000000">
      <w:pPr>
        <w:numPr>
          <w:ilvl w:val="0"/>
          <w:numId w:val="3"/>
        </w:numPr>
        <w:spacing w:after="150" w:before="0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Интеграция с другими технологиями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: Возможность интеграции инструментов с другими библиотеками и системами обработки данных расширяет горизонты их применения, позволяя разработчикам создавать более сложные решения на основе полученных данных.</w:t>
      </w:r>
    </w:p>
    <w:p w14:paraId="33000000">
      <w:pPr>
        <w:spacing w:after="150" w:before="0"/>
        <w:ind w:firstLine="0" w:left="0" w:right="0"/>
        <w:jc w:val="both"/>
        <w:rPr>
          <w:rFonts w:ascii="Onest" w:hAnsi="Onest"/>
          <w:b w:val="0"/>
          <w:i w:val="0"/>
          <w:caps w:val="0"/>
          <w:color w:val="474747"/>
          <w:spacing w:val="0"/>
          <w:sz w:val="24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В целом, инструменты дистрибутивной семантики, предлагаемые RusVectōrēs, являются эффективными и применимыми в различных областях, от научных исследований до практического использования в NLP, что делает этот ресурс важным вкладом в развитие лингвистики и обработки естественного языка в русскоязычном контексте.</w:t>
      </w:r>
    </w:p>
    <w:p w14:paraId="34000000">
      <w:pPr>
        <w:pStyle w:val="Style_1"/>
        <w:ind/>
        <w:jc w:val="both"/>
        <w:rPr>
          <w:rFonts w:ascii="Times New Roman" w:hAnsi="Times New Roman"/>
          <w:sz w:val="28"/>
        </w:rPr>
      </w:pPr>
    </w:p>
    <w:sectPr>
      <w:headerReference r:id="rId1" w:type="default"/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2" w:type="paragraph">
    <w:name w:val="Hyperlink"/>
    <w:link w:val="Style_2_ch"/>
    <w:rPr>
      <w:color w:val="0000FF"/>
      <w:u w:val="single"/>
    </w:rPr>
  </w:style>
  <w:style w:styleId="Style_2_ch" w:type="character">
    <w:name w:val="Hyperlink"/>
    <w:link w:val="Style_2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webSettings.xml" Type="http://schemas.openxmlformats.org/officeDocument/2006/relationships/webSettings"/>
  <Relationship Id="rId10" Target="stylesWithEffects.xml" Type="http://schemas.microsoft.com/office/2007/relationships/stylesWithEffects"/>
  <Relationship Id="rId7" Target="fontTable.xml" Type="http://schemas.openxmlformats.org/officeDocument/2006/relationships/fontTable"/>
  <Relationship Id="rId6" Target="media/5.png" Type="http://schemas.openxmlformats.org/officeDocument/2006/relationships/image"/>
  <Relationship Id="rId13" Target="numbering.xml" Type="http://schemas.openxmlformats.org/officeDocument/2006/relationships/numbering"/>
  <Relationship Id="rId9" Target="styles.xml" Type="http://schemas.openxmlformats.org/officeDocument/2006/relationships/styles"/>
  <Relationship Id="rId5" Target="media/4.png" Type="http://schemas.openxmlformats.org/officeDocument/2006/relationships/image"/>
  <Relationship Id="rId8" Target="settings.xml" Type="http://schemas.openxmlformats.org/officeDocument/2006/relationships/settings"/>
  <Relationship Id="rId4" Target="media/3.png" Type="http://schemas.openxmlformats.org/officeDocument/2006/relationships/image"/>
  <Relationship Id="rId12" Target="theme/theme1.xml" Type="http://schemas.openxmlformats.org/officeDocument/2006/relationships/theme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2025-02-20T17:03:24Z</dcterms:modified>
</cp:coreProperties>
</file>