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Уровень 2</w:t>
      </w:r>
    </w:p>
    <w:p w14:paraId="03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Часть 1</w:t>
      </w:r>
    </w:p>
    <w:p w14:paraId="04000000">
      <w:pPr>
        <w:pStyle w:val="Style_1"/>
        <w:ind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выполнения задание создала и заполнила таблицу, где </w:t>
      </w:r>
      <w:r>
        <w:t>ipm = абсолютная частота/размер корпуса × 1 000 000</w:t>
      </w:r>
      <w:r>
        <w:rPr>
          <w:rFonts w:ascii="Times New Roman" w:hAnsi="Times New Roman"/>
        </w:rPr>
        <w:t>: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409"/>
        <w:gridCol w:w="1409"/>
        <w:gridCol w:w="1409"/>
        <w:gridCol w:w="1409"/>
        <w:gridCol w:w="1409"/>
        <w:gridCol w:w="1409"/>
        <w:gridCol w:w="1409"/>
      </w:tblGrid>
      <w:tr>
        <w:trPr>
          <w:trHeight w:hRule="atLeast" w:val="360"/>
        </w:trPr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5000000">
            <w:pPr>
              <w:ind/>
              <w:jc w:val="center"/>
              <w:rPr>
                <w:rFonts w:ascii="Times New Roman" w:hAnsi="Times New Roman"/>
              </w:rPr>
            </w:pPr>
          </w:p>
        </w:tc>
        <w:tc>
          <w:tcPr>
            <w:tcW w:type="dxa" w:w="4227"/>
            <w:gridSpan w:val="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НКРЯ, Основной корпус</w:t>
            </w:r>
          </w:p>
        </w:tc>
        <w:tc>
          <w:tcPr>
            <w:tcW w:type="dxa" w:w="4227"/>
            <w:gridSpan w:val="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Подкорпус художественной литературы</w:t>
            </w:r>
          </w:p>
        </w:tc>
      </w:tr>
      <w:tr>
        <w:trPr>
          <w:trHeight w:hRule="atLeast" w:val="360"/>
        </w:trPr>
        <w:tc>
          <w:tcPr>
            <w:tcW w:type="dxa" w:w="1409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Результаты поиска по запросу</w:t>
            </w:r>
          </w:p>
        </w:tc>
        <w:tc>
          <w:tcPr>
            <w:tcW w:type="dxa" w:w="4227"/>
            <w:gridSpan w:val="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размер:</w:t>
            </w:r>
          </w:p>
        </w:tc>
        <w:tc>
          <w:tcPr>
            <w:tcW w:type="dxa" w:w="4227"/>
            <w:gridSpan w:val="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размер:</w:t>
            </w:r>
          </w:p>
        </w:tc>
      </w:tr>
      <w:tr>
        <w:trPr>
          <w:trHeight w:hRule="atLeast" w:val="360"/>
        </w:trPr>
        <w:tc>
          <w:tcPr>
            <w:tcW w:type="dxa" w:w="1409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/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B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кол-во текстов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абсолютная частота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D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imp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кол-во текстов</w:t>
            </w:r>
          </w:p>
          <w:p w14:paraId="0F000000">
            <w:pPr>
              <w:ind/>
              <w:jc w:val="center"/>
              <w:rPr>
                <w:rFonts w:ascii="Times New Roman" w:hAnsi="Times New Roman"/>
              </w:rPr>
            </w:pP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абсолютная частота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1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imp</w:t>
            </w:r>
          </w:p>
        </w:tc>
      </w:tr>
      <w:tr>
        <w:trPr>
          <w:trHeight w:hRule="atLeast" w:val="360"/>
        </w:trPr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2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ехай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3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4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0,03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5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0,25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6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43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7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0,006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8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0,56</w:t>
            </w:r>
          </w:p>
        </w:tc>
      </w:tr>
      <w:tr>
        <w:trPr>
          <w:trHeight w:hRule="atLeast" w:val="360"/>
        </w:trPr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9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поезжай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A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1292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B000000">
            <w:pPr>
              <w:ind/>
              <w:jc w:val="center"/>
            </w:pPr>
            <w:r>
              <w:t>0,32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C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2,39</w:t>
            </w:r>
          </w:p>
          <w:p w14:paraId="1D000000">
            <w:pPr>
              <w:ind/>
              <w:jc w:val="center"/>
              <w:rPr>
                <w:rFonts w:ascii="Times New Roman" w:hAnsi="Times New Roman"/>
              </w:rPr>
            </w:pP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E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974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F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0,05</w:t>
            </w:r>
          </w:p>
        </w:tc>
        <w:tc>
          <w:tcPr>
            <w:tcW w:type="dxa" w:w="14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0000000">
            <w:pPr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4,7</w:t>
            </w:r>
          </w:p>
        </w:tc>
      </w:tr>
    </w:tbl>
    <w:p w14:paraId="21000000">
      <w:pPr>
        <w:pStyle w:val="Style_1"/>
        <w:ind/>
        <w:jc w:val="center"/>
        <w:rPr>
          <w:rFonts w:ascii="Times New Roman" w:hAnsi="Times New Roman"/>
        </w:rPr>
      </w:pPr>
    </w:p>
    <w:p w14:paraId="22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5379720" cy="336042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79720" cy="33604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00000">
      <w:pPr>
        <w:pStyle w:val="Style_1"/>
        <w:ind/>
        <w:jc w:val="center"/>
        <w:rPr>
          <w:rFonts w:ascii="Times New Roman" w:hAnsi="Times New Roman"/>
        </w:rPr>
      </w:pPr>
    </w:p>
    <w:p w14:paraId="24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5699760" cy="271272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99760" cy="2712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4998720" cy="262128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998720" cy="26212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1"/>
        <w:ind/>
        <w:jc w:val="center"/>
        <w:rPr>
          <w:rFonts w:ascii="Times New Roman" w:hAnsi="Times New Roman"/>
        </w:rPr>
      </w:pPr>
    </w:p>
    <w:p w14:paraId="27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4792980" cy="263652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792980" cy="26365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00000">
      <w:pPr>
        <w:pStyle w:val="Style_1"/>
        <w:ind/>
        <w:jc w:val="center"/>
        <w:rPr>
          <w:rFonts w:ascii="Times New Roman" w:hAnsi="Times New Roman"/>
        </w:rPr>
      </w:pPr>
    </w:p>
    <w:p w14:paraId="29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Часть 4</w:t>
      </w:r>
    </w:p>
    <w:p w14:paraId="2A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The coffee chain is taking the action under its "Back to Starbucks" restructuring plan designed to revitalize the brand, in part by serving in-store customers more quickly.</w:t>
      </w:r>
    </w:p>
    <w:p w14:paraId="2B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"This includes the hard decision to eliminate 1,100 current support partner roles and several hundred additional open and unfilled positions," Niccol said in the memo. "We are si</w:t>
      </w: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mplifying our structure, removing layers and duplication and creating smaller, more nimble teams. Our intent is t</w:t>
      </w: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o operate more efficiently, increase accountability, reduce complexity and drive better integration. All with the go</w:t>
      </w: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al of being more focused and able to drive greater impact on our priorities."</w:t>
      </w:r>
    </w:p>
    <w:p w14:paraId="2C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The layoffs do not affect in-store retail team members such as baristas and other support staff, Starbucks said.</w:t>
      </w: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101010"/>
          <w:spacing w:val="0"/>
          <w:sz w:val="28"/>
          <w:highlight w:val="white"/>
        </w:rPr>
        <w:t>The company said it will inform workers who no longer have jobs on Tuesday.</w:t>
      </w:r>
    </w:p>
    <w:p w14:paraId="2D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  <w:t xml:space="preserve">Перевод: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  <w:t>Сеть кофеен принимает меры в рамках своего плана реструктуризации "Назад в Starbucks", направленного на возрождение бренда, в том числе за счет более оперативного обслуживания клиентов в магазинах. "Это включает в себя трудное решение ликвидировать 1100 текущих должностей партнеров по поддержке и несколько сотен дополнительных открытых и незаполненных вакансий", - сказал Никкол в служебной записке. "Мы упрощаем нашу структуру, устраняем уровни и дублирование и создаем небольшие, более гибкие команды. Наше намерение состоит в том, чтобы работать более эффективно, повышать подотчетность, снижать сложность и обеспечивать лучшую интеграцию. И все это с целью повышения целенаправленности и способности оказывать большее влияние на наши приоритеты". В Starbucks заявили, что увольнения не коснутся сотрудников розничной торговли в магазинах, таких как бариста и другой вспомогательный персонал. Компания заявила, что проинформирует работников, у которых больше нет работы, во вторник.</w:t>
      </w:r>
    </w:p>
    <w:p w14:paraId="2E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  <w:t>Для того, чтобы выровнять тексты привела их к формату TXT, с помощью сайта:</w:t>
      </w:r>
    </w:p>
    <w:p w14:paraId="2F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  <w:r>
        <w:drawing>
          <wp:inline>
            <wp:extent cx="6264274" cy="3619786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274" cy="36197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  <w:t>Потом сделала выравнивание с помощью LF Aligner.</w:t>
      </w:r>
    </w:p>
    <w:p w14:paraId="31000000">
      <w:pPr>
        <w:spacing w:after="336" w:before="375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</w:p>
    <w:p w14:paraId="32000000">
      <w:pPr>
        <w:pStyle w:val="Style_1"/>
        <w:ind/>
        <w:jc w:val="both"/>
        <w:rPr>
          <w:rFonts w:ascii="Times New Roman" w:hAnsi="Times New Roman"/>
        </w:rPr>
      </w:pPr>
    </w:p>
    <w:p w14:paraId="33000000">
      <w:pPr>
        <w:pStyle w:val="Style_1"/>
        <w:ind/>
        <w:jc w:val="center"/>
        <w:rPr>
          <w:rFonts w:ascii="Times New Roman" w:hAnsi="Times New Roman"/>
        </w:rPr>
      </w:pPr>
    </w:p>
    <w:p w14:paraId="34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995160" cy="365760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99516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r:id="rId1" w:type="default"/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</w:ft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stylesWithEffects.xml" Type="http://schemas.microsoft.com/office/2007/relationships/stylesWithEffects"/>
  <Relationship Id="rId10" Target="styles.xml" Type="http://schemas.openxmlformats.org/officeDocument/2006/relationships/styles"/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3" Target="theme/theme1.xml" Type="http://schemas.openxmlformats.org/officeDocument/2006/relationships/theme"/>
  <Relationship Id="rId9" Target="settings.xml" Type="http://schemas.openxmlformats.org/officeDocument/2006/relationships/settings"/>
  <Relationship Id="rId5" Target="media/4.png" Type="http://schemas.openxmlformats.org/officeDocument/2006/relationships/image"/>
  <Relationship Id="rId8" Target="fontTable.xml" Type="http://schemas.openxmlformats.org/officeDocument/2006/relationships/fontTable"/>
  <Relationship Id="rId4" Target="media/3.png" Type="http://schemas.openxmlformats.org/officeDocument/2006/relationships/image"/>
  <Relationship Id="rId12" Target="webSettings.xml" Type="http://schemas.openxmlformats.org/officeDocument/2006/relationships/webSetting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2025-02-24T19:55:41Z</dcterms:modified>
</cp:coreProperties>
</file>