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3</w:t>
      </w:r>
    </w:p>
    <w:p>
      <w:pPr>
        <w:pStyle w:val="Author"/>
      </w:pPr>
      <w:r>
        <w:t xml:space="preserve">Елизавета</w:t>
      </w:r>
      <w:r>
        <w:t xml:space="preserve"> </w:t>
      </w:r>
      <w:r>
        <w:t xml:space="preserve">Александровна</w:t>
      </w:r>
      <w:r>
        <w:t xml:space="preserve"> </w:t>
      </w:r>
      <w:r>
        <w:t xml:space="preserve">Гайдамака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освоение набора математических выражений и основных возможностей математического режима LaTeX.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Сравнить строчный и выключной математические режимы.</w:t>
      </w:r>
    </w:p>
    <w:p>
      <w:pPr>
        <w:numPr>
          <w:ilvl w:val="0"/>
          <w:numId w:val="1001"/>
        </w:numPr>
        <w:pStyle w:val="Compact"/>
      </w:pPr>
      <w:r>
        <w:t xml:space="preserve">Проверить греческие буквы и математические шрифты.</w:t>
      </w:r>
    </w:p>
    <w:p>
      <w:pPr>
        <w:numPr>
          <w:ilvl w:val="0"/>
          <w:numId w:val="1001"/>
        </w:numPr>
        <w:pStyle w:val="Compact"/>
      </w:pPr>
      <w:r>
        <w:t xml:space="preserve">Исследовать параметры выравнивания формул и расположения их номеров.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В LaTeX используются строчный и выключной математические режимы, в которых автоматически формируются интервалы между математическими символами. Пакет amsmath расширяет возможности набора формул, выравниваний и многострочных математических выражений.</w:t>
      </w:r>
    </w:p>
    <w:bookmarkEnd w:id="22"/>
    <w:bookmarkStart w:id="5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numPr>
          <w:ilvl w:val="0"/>
          <w:numId w:val="1002"/>
        </w:numPr>
        <w:pStyle w:val="Compact"/>
      </w:pPr>
      <w:r>
        <w:t xml:space="preserve">Взять примеры математических выражений из главы.</w:t>
      </w:r>
    </w:p>
    <w:p>
      <w:pPr>
        <w:pStyle w:val="CaptionedFigure"/>
      </w:pPr>
      <w:r>
        <w:drawing>
          <wp:inline>
            <wp:extent cx="5334000" cy="2484156"/>
            <wp:effectExtent b="0" l="0" r="0" t="0"/>
            <wp:docPr descr="Рис.1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4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Рис.1</w:t>
      </w:r>
    </w:p>
    <w:p>
      <w:pPr>
        <w:numPr>
          <w:ilvl w:val="0"/>
          <w:numId w:val="1003"/>
        </w:numPr>
        <w:pStyle w:val="Compact"/>
      </w:pPr>
      <w:r>
        <w:t xml:space="preserve">Переключать их между inline math и display math.</w:t>
      </w:r>
    </w:p>
    <w:p>
      <w:pPr>
        <w:pStyle w:val="CaptionedFigure"/>
      </w:pPr>
      <w:r>
        <w:drawing>
          <wp:inline>
            <wp:extent cx="4316223" cy="1419558"/>
            <wp:effectExtent b="0" l="0" r="0" t="0"/>
            <wp:docPr descr="Рис.2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223" cy="1419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Рис.2</w:t>
      </w:r>
    </w:p>
    <w:p>
      <w:pPr>
        <w:numPr>
          <w:ilvl w:val="0"/>
          <w:numId w:val="1004"/>
        </w:numPr>
        <w:pStyle w:val="Compact"/>
      </w:pPr>
      <w:r>
        <w:t xml:space="preserve">Посмотреть, как меняется результат.</w:t>
      </w:r>
    </w:p>
    <w:p>
      <w:pPr>
        <w:pStyle w:val="CaptionedFigure"/>
      </w:pPr>
      <w:r>
        <w:drawing>
          <wp:inline>
            <wp:extent cx="2640889" cy="2724016"/>
            <wp:effectExtent b="0" l="0" r="0" t="0"/>
            <wp:docPr descr="Рис.3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889" cy="2724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Рис.3</w:t>
      </w:r>
    </w:p>
    <w:p>
      <w:pPr>
        <w:numPr>
          <w:ilvl w:val="0"/>
          <w:numId w:val="1005"/>
        </w:numPr>
        <w:pStyle w:val="Compact"/>
      </w:pPr>
      <w:r>
        <w:t xml:space="preserve">Добавить другие греческие буквы — строчные и прописные.</w:t>
      </w:r>
    </w:p>
    <w:p>
      <w:pPr>
        <w:pStyle w:val="CaptionedFigure"/>
      </w:pPr>
      <w:r>
        <w:drawing>
          <wp:inline>
            <wp:extent cx="4540027" cy="2270013"/>
            <wp:effectExtent b="0" l="0" r="0" t="0"/>
            <wp:docPr descr="Рис.4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027" cy="2270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Рис.4</w:t>
      </w:r>
    </w:p>
    <w:p>
      <w:pPr>
        <w:numPr>
          <w:ilvl w:val="0"/>
          <w:numId w:val="1006"/>
        </w:numPr>
        <w:pStyle w:val="Compact"/>
      </w:pPr>
      <w:r>
        <w:t xml:space="preserve">Поэкспериментировать с командами изменения математических шрифтов.</w:t>
      </w:r>
    </w:p>
    <w:p>
      <w:pPr>
        <w:pStyle w:val="CaptionedFigure"/>
      </w:pPr>
      <w:r>
        <w:drawing>
          <wp:inline>
            <wp:extent cx="4597577" cy="1393980"/>
            <wp:effectExtent b="0" l="0" r="0" t="0"/>
            <wp:docPr descr="Рис.5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577" cy="1393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Рис.5</w:t>
      </w:r>
    </w:p>
    <w:p>
      <w:pPr>
        <w:numPr>
          <w:ilvl w:val="0"/>
          <w:numId w:val="1007"/>
        </w:numPr>
        <w:pStyle w:val="Compact"/>
      </w:pPr>
      <w:r>
        <w:t xml:space="preserve">Попробовать вкладывать команды изменения шрифтов друг в друга.</w:t>
      </w:r>
    </w:p>
    <w:p>
      <w:pPr>
        <w:pStyle w:val="CaptionedFigure"/>
      </w:pPr>
      <w:r>
        <w:drawing>
          <wp:inline>
            <wp:extent cx="2244436" cy="2532184"/>
            <wp:effectExtent b="0" l="0" r="0" t="0"/>
            <wp:docPr descr="Рис.6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436" cy="2532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Рис.6</w:t>
      </w:r>
    </w:p>
    <w:p>
      <w:pPr>
        <w:numPr>
          <w:ilvl w:val="0"/>
          <w:numId w:val="1008"/>
        </w:numPr>
        <w:pStyle w:val="Compact"/>
      </w:pPr>
      <w:r>
        <w:t xml:space="preserve">Добавить параметр класса</w:t>
      </w:r>
      <w:r>
        <w:t xml:space="preserve"> </w:t>
      </w:r>
      <w:r>
        <w:rPr>
          <w:rStyle w:val="VerbatimChar"/>
        </w:rPr>
        <w:t xml:space="preserve">[fleqn]</w:t>
      </w:r>
      <w:r>
        <w:t xml:space="preserve">.</w:t>
      </w:r>
    </w:p>
    <w:p>
      <w:pPr>
        <w:pStyle w:val="CaptionedFigure"/>
      </w:pPr>
      <w:r>
        <w:drawing>
          <wp:inline>
            <wp:extent cx="2199675" cy="383664"/>
            <wp:effectExtent b="0" l="0" r="0" t="0"/>
            <wp:docPr descr="Рис.7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9675" cy="383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Рис.7</w:t>
      </w:r>
    </w:p>
    <w:p>
      <w:pPr>
        <w:numPr>
          <w:ilvl w:val="0"/>
          <w:numId w:val="1009"/>
        </w:numPr>
        <w:pStyle w:val="Compact"/>
      </w:pPr>
      <w:r>
        <w:t xml:space="preserve">Проверить, как display-формулы выравниваются влево.</w:t>
      </w:r>
    </w:p>
    <w:p>
      <w:pPr>
        <w:pStyle w:val="CaptionedFigure"/>
      </w:pPr>
      <w:r>
        <w:drawing>
          <wp:inline>
            <wp:extent cx="5275384" cy="2058998"/>
            <wp:effectExtent b="0" l="0" r="0" t="0"/>
            <wp:docPr descr="Рис.8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384" cy="2058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Рис.8</w:t>
      </w:r>
    </w:p>
    <w:p>
      <w:pPr>
        <w:numPr>
          <w:ilvl w:val="0"/>
          <w:numId w:val="1010"/>
        </w:numPr>
        <w:pStyle w:val="Compact"/>
      </w:pPr>
      <w:r>
        <w:t xml:space="preserve">Добавить параметр</w:t>
      </w:r>
      <w:r>
        <w:t xml:space="preserve"> </w:t>
      </w:r>
      <w:r>
        <w:rPr>
          <w:rStyle w:val="VerbatimChar"/>
        </w:rPr>
        <w:t xml:space="preserve">[leqno]</w:t>
      </w:r>
      <w:r>
        <w:t xml:space="preserve">.</w:t>
      </w:r>
    </w:p>
    <w:p>
      <w:pPr>
        <w:pStyle w:val="CaptionedFigure"/>
      </w:pPr>
      <w:r>
        <w:drawing>
          <wp:inline>
            <wp:extent cx="5334000" cy="1848774"/>
            <wp:effectExtent b="0" l="0" r="0" t="0"/>
            <wp:docPr descr="Рис.9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8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Рис.9</w:t>
      </w:r>
    </w:p>
    <w:p>
      <w:pPr>
        <w:numPr>
          <w:ilvl w:val="0"/>
          <w:numId w:val="1011"/>
        </w:numPr>
        <w:pStyle w:val="Compact"/>
      </w:pPr>
      <w:r>
        <w:t xml:space="preserve">Проверить, как номера формул перемещаются на левую сторону.</w:t>
      </w:r>
    </w:p>
    <w:p>
      <w:pPr>
        <w:pStyle w:val="CaptionedFigure"/>
      </w:pPr>
      <w:r>
        <w:drawing>
          <wp:inline>
            <wp:extent cx="2551367" cy="1950293"/>
            <wp:effectExtent b="0" l="0" r="0" t="0"/>
            <wp:docPr descr="Рис.10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1367" cy="1950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Рис.10</w:t>
      </w:r>
    </w:p>
    <w:bookmarkEnd w:id="53"/>
    <w:bookmarkStart w:id="54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Благодаря данной работе я научилась набирать математические выражения и использовать основные возможности математического режима LaTeX.</w:t>
      </w:r>
    </w:p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Елизавета Александровна Гайдамака</dc:creator>
  <dc:language>ru-RU</dc:language>
  <cp:keywords/>
  <dcterms:created xsi:type="dcterms:W3CDTF">2026-09-24T21:01:02Z</dcterms:created>
  <dcterms:modified xsi:type="dcterms:W3CDTF">2026-09-24T21:01:02Z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Title">
    <vt:lpwstr>Список иллюстраций</vt:lpwstr>
  </property>
  <property fmtid="{D5CDD505-2E9C-101B-9397-08002B2CF9AE}" pid="17" name="lolTitle">
    <vt:lpwstr>Листинги</vt:lpwstr>
  </property>
  <property fmtid="{D5CDD505-2E9C-101B-9397-08002B2CF9AE}" pid="18" name="lotTitle">
    <vt:lpwstr>Список таблиц</vt:lpwstr>
  </property>
  <property fmtid="{D5CDD505-2E9C-101B-9397-08002B2CF9AE}" pid="19" name="mainfont">
    <vt:lpwstr>PT Serif</vt:lpwstr>
  </property>
  <property fmtid="{D5CDD505-2E9C-101B-9397-08002B2CF9AE}" pid="20" name="mainfontoptions">
    <vt:lpwstr>Ligatures=TeX</vt:lpwstr>
  </property>
  <property fmtid="{D5CDD505-2E9C-101B-9397-08002B2CF9AE}" pid="21" name="monofont">
    <vt:lpwstr>PT Mono</vt:lpwstr>
  </property>
  <property fmtid="{D5CDD505-2E9C-101B-9397-08002B2CF9AE}" pid="22" name="monofontoptions">
    <vt:lpwstr>Scale=MatchLowercase,Scale=0.9</vt:lpwstr>
  </property>
  <property fmtid="{D5CDD505-2E9C-101B-9397-08002B2CF9AE}" pid="23" name="papersize">
    <vt:lpwstr>a4</vt:lpwstr>
  </property>
  <property fmtid="{D5CDD505-2E9C-101B-9397-08002B2CF9AE}" pid="24" name="polyglossia-lang">
    <vt:lpwstr/>
  </property>
  <property fmtid="{D5CDD505-2E9C-101B-9397-08002B2CF9AE}" pid="25" name="polyglossia-otherlangs">
    <vt:lpwstr/>
  </property>
  <property fmtid="{D5CDD505-2E9C-101B-9397-08002B2CF9AE}" pid="26" name="romanfont">
    <vt:lpwstr>PT Serif</vt:lpwstr>
  </property>
  <property fmtid="{D5CDD505-2E9C-101B-9397-08002B2CF9AE}" pid="27" name="romanfontoptions">
    <vt:lpwstr>Ligatures=TeX</vt:lpwstr>
  </property>
  <property fmtid="{D5CDD505-2E9C-101B-9397-08002B2CF9AE}" pid="28" name="sansfont">
    <vt:lpwstr>PT Sans</vt:lpwstr>
  </property>
  <property fmtid="{D5CDD505-2E9C-101B-9397-08002B2CF9AE}" pid="29" name="sansfontoptions">
    <vt:lpwstr>Ligatures=TeX,Scale=MatchLowercase</vt:lpwstr>
  </property>
  <property fmtid="{D5CDD505-2E9C-101B-9397-08002B2CF9AE}" pid="30" name="tableTitle">
    <vt:lpwstr>Таблица</vt:lpwstr>
  </property>
  <property fmtid="{D5CDD505-2E9C-101B-9397-08002B2CF9AE}" pid="31" name="toc">
    <vt:lpwstr>True</vt:lpwstr>
  </property>
  <property fmtid="{D5CDD505-2E9C-101B-9397-08002B2CF9AE}" pid="32" name="toc-depth">
    <vt:lpwstr>2</vt:lpwstr>
  </property>
  <property fmtid="{D5CDD505-2E9C-101B-9397-08002B2CF9AE}" pid="33" name="toc-title">
    <vt:lpwstr>Содержание</vt:lpwstr>
  </property>
</Properties>
</file>