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0" w:line="247" w:lineRule="auto"/>
        <w:pBdr>
          <w:bottom w:val="single" w:sz="9" w:color="5484A2"/>
        </w:pBdr>
      </w:pPr>
      <w:r>
        <w:rPr>
          <w:rFonts w:ascii="Calibri" w:hAnsi="Calibri"/>
          <w:b/>
          <w:color w:val="2E4C5D"/>
          <w:sz w:val="34"/>
        </w:rPr>
        <w:t>Динамика трёх доменов · PBS и LPS</w:t>
      </w:r>
    </w:p>
    <w:p>
      <w:pPr>
        <w:spacing w:after="100" w:before="0" w:line="247" w:lineRule="auto"/>
      </w:pPr>
      <w:r>
        <w:rPr>
          <w:rFonts w:ascii="Calibri" w:hAnsi="Calibri"/>
          <w:b w:val="0"/>
          <w:color w:val="637985"/>
          <w:sz w:val="17"/>
        </w:rPr>
        <w:t>25 мышей · 63 живых состояний · 0 / 16 / 24 недели. Сплошные линии — мыши; пунктирные — соединения с номерами.</w:t>
      </w:r>
    </w:p>
    <w:p>
      <w:pPr>
        <w:spacing w:after="40" w:before="0" w:line="247" w:lineRule="auto"/>
      </w:pPr>
      <w:r>
        <w:rPr>
          <w:rFonts w:ascii="Calibri" w:hAnsi="Calibri"/>
          <w:b/>
          <w:color w:val="2E4C5D"/>
          <w:sz w:val="22"/>
        </w:rPr>
        <w:t>D1 · двигательная активность — OFT / rear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2334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trajecto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33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7" w:lineRule="auto"/>
      </w:pPr>
      <w:r>
        <w:rPr>
          <w:rFonts w:ascii="Calibri" w:hAnsi="Calibri"/>
          <w:b/>
          <w:color w:val="2E4C5D"/>
          <w:sz w:val="22"/>
        </w:rPr>
        <w:t>D2 · обучение и выносливость — Learning / Endurance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23341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trajecto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33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47" w:lineRule="auto"/>
      </w:pPr>
      <w:r>
        <w:rPr>
          <w:rFonts w:ascii="Calibri" w:hAnsi="Calibri"/>
          <w:b w:val="0"/>
          <w:color w:val="637985"/>
          <w:sz w:val="16"/>
        </w:rPr>
        <w:t>Вывод: траектории мышей неоднородны. Ноль — исходное среднее домена, не отсутствие функции.</w:t>
      </w:r>
    </w:p>
    <w:p>
      <w:r>
        <w:br w:type="page"/>
      </w:r>
    </w:p>
    <w:p>
      <w:pPr>
        <w:spacing w:after="100" w:before="0" w:line="247" w:lineRule="auto"/>
        <w:pBdr>
          <w:bottom w:val="single" w:sz="9" w:color="5484A2"/>
        </w:pBdr>
      </w:pPr>
      <w:r>
        <w:rPr>
          <w:rFonts w:ascii="Calibri" w:hAnsi="Calibri"/>
          <w:b/>
          <w:color w:val="2E4C5D"/>
          <w:sz w:val="34"/>
        </w:rPr>
        <w:t>Динамика доменов · продолжение</w:t>
      </w:r>
    </w:p>
    <w:p>
      <w:pPr>
        <w:spacing w:after="40" w:before="0" w:line="247" w:lineRule="auto"/>
      </w:pPr>
      <w:r>
        <w:rPr>
          <w:rFonts w:ascii="Calibri" w:hAnsi="Calibri"/>
          <w:b/>
          <w:color w:val="2E4C5D"/>
          <w:sz w:val="22"/>
        </w:rPr>
        <w:t>D3 · исследовательское поведение — NOR1 + NOR2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2334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trajecto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33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7" w:lineRule="auto"/>
      </w:pPr>
      <w:r>
        <w:rPr>
          <w:rFonts w:ascii="Calibri" w:hAnsi="Calibri"/>
          <w:b/>
          <w:color w:val="2E4C5D"/>
          <w:sz w:val="22"/>
        </w:rPr>
        <w:t>Средние баллы трёх доменов · PBS / LPS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72600" cy="22381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n_trajecto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223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7" w:lineRule="auto"/>
      </w:pPr>
      <w:r>
        <w:rPr>
          <w:rFonts w:ascii="Calibri" w:hAnsi="Calibri"/>
          <w:b w:val="0"/>
          <w:color w:val="637985"/>
          <w:sz w:val="16"/>
        </w:rPr>
        <w:t>Аугментация: к каждому обучающему исходному баллу добавляется N(0; 0,1²) на шкале SD тренировочных мышей. 20 отдельных обучений, их прогнозы усредняются. Исключённая мышь и её целевой балл не изменяются.</w:t>
      </w:r>
    </w:p>
    <w:p>
      <w:r>
        <w:br w:type="page"/>
      </w:r>
    </w:p>
    <w:p>
      <w:pPr>
        <w:spacing w:after="100" w:before="0" w:line="247" w:lineRule="auto"/>
        <w:pBdr>
          <w:bottom w:val="single" w:sz="9" w:color="5484A2"/>
        </w:pBdr>
      </w:pPr>
      <w:r>
        <w:rPr>
          <w:rFonts w:ascii="Calibri" w:hAnsi="Calibri"/>
          <w:b/>
          <w:color w:val="2E4C5D"/>
          <w:sz w:val="34"/>
        </w:rPr>
        <w:t>Точность прогноза · без шума против шума 10%</w:t>
      </w:r>
    </w:p>
    <w:p>
      <w:pPr>
        <w:spacing w:after="60" w:before="0" w:line="247" w:lineRule="auto"/>
      </w:pPr>
      <w:r>
        <w:rPr>
          <w:rFonts w:ascii="Calibri" w:hAnsi="Calibri"/>
          <w:b w:val="0"/>
          <w:color w:val="637985"/>
          <w:sz w:val="17"/>
        </w:rPr>
        <w:t>12 задач, n=6–11. Leave-one-mouse-out. Ridge, Bayesian Ridge, Huber; MAE меньше = точнее. 10% SD шума, 40 повторов, без подбора уровня по отложенной мыши.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34612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e_no_noise_vs_noise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461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7" w:lineRule="auto"/>
      </w:pPr>
      <w:r>
        <w:rPr>
          <w:rFonts w:ascii="Calibri" w:hAnsi="Calibri"/>
          <w:b/>
          <w:color w:val="2E4C5D"/>
          <w:sz w:val="20"/>
        </w:rPr>
        <w:t>Лучший способ · три регрессии с шумом/без него и два простых прогноза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8961120" cy="21693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method_by_dom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2169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7" w:lineRule="auto"/>
      </w:pPr>
      <w:r>
        <w:rPr>
          <w:rFonts w:ascii="Calibri" w:hAnsi="Calibri"/>
          <w:b/>
          <w:color w:val="2E4C5D"/>
          <w:sz w:val="17"/>
        </w:rPr>
        <w:t>Итог: шум уменьшил MAE в 8/12 задач Ridge, 6/12 Bayesian Ridge, 5/12 Huber; модель с шумом лучшая среди всех альтернатив в 1/12.</w:t>
      </w:r>
    </w:p>
    <w:p>
      <w:r>
        <w:br w:type="page"/>
      </w:r>
    </w:p>
    <w:p>
      <w:pPr>
        <w:spacing w:after="100" w:before="0" w:line="247" w:lineRule="auto"/>
        <w:pBdr>
          <w:bottom w:val="single" w:sz="9" w:color="5484A2"/>
        </w:pBdr>
      </w:pPr>
      <w:r>
        <w:rPr>
          <w:rFonts w:ascii="Calibri" w:hAnsi="Calibri"/>
          <w:b/>
          <w:color w:val="2E4C5D"/>
          <w:sz w:val="34"/>
        </w:rPr>
        <w:t>Факт против прогноза · 12 проверок Ridge + шум 10%</w:t>
      </w:r>
    </w:p>
    <w:p>
      <w:pPr>
        <w:spacing w:after="100" w:before="0" w:line="247" w:lineRule="auto"/>
      </w:pPr>
      <w:r>
        <w:rPr>
          <w:rFonts w:ascii="Calibri" w:hAnsi="Calibri"/>
          <w:b w:val="0"/>
          <w:color w:val="637985"/>
          <w:sz w:val="17"/>
        </w:rPr>
        <w:t>Ряды: PBS 0→16 (n=9), PBS 16→24 (n=6), LPS 16→24 (n=11), PBS 0→24 (n=6); столбцы D1–D3. Пунктир — идеальный прогноз.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601200" cy="52679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ge_noise10_actual_vs_predi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267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7" w:lineRule="auto"/>
      </w:pPr>
      <w:r>
        <w:rPr>
          <w:rFonts w:ascii="Calibri" w:hAnsi="Calibri"/>
          <w:b/>
          <w:color w:val="2E4C5D"/>
          <w:sz w:val="16"/>
        </w:rPr>
        <w:t>Вывод: оценка на малых выборках нестабильна. Шум 5%/20% показан дополнительно в CSV; выбирать наиболее удачный уровень постфактум нельзя.</w:t>
      </w:r>
    </w:p>
    <w:p>
      <w:pPr>
        <w:spacing w:after="0" w:before="0" w:line="247" w:lineRule="auto"/>
      </w:pPr>
      <w:r>
        <w:rPr>
          <w:rFonts w:ascii="Calibri" w:hAnsi="Calibri"/>
          <w:b w:val="0"/>
          <w:color w:val="637985"/>
          <w:sz w:val="15"/>
        </w:rPr>
        <w:t>Ограничение: это шумовая аугментация входа, не новые независимые мыши. Доменные баллы и первичная импутация вычислены до проверки; проверялась регрессия при фиксированных факторах и только у выживших мышей.</w:t>
      </w:r>
    </w:p>
    <w:sectPr w:rsidR="00FC693F" w:rsidRPr="0006063C" w:rsidSect="00034616">
      <w:footerReference w:type="default" r:id="rId9"/>
      <w:pgSz w:w="16834" w:h="11909"/>
      <w:pgMar w:top="547" w:right="634" w:bottom="576" w:left="634" w:header="720" w:footer="23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D8990"/>
        <w:sz w:val="16"/>
      </w:rPr>
      <w:t>24.10.2026 · eNRI / 3 домена · шум 10%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