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57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Динамика трёх доменов · PBS и LPS</w:t>
      </w:r>
    </w:p>
    <w:p>
      <w:pPr>
        <w:spacing w:after="120" w:before="0" w:line="257" w:lineRule="auto"/>
      </w:pPr>
      <w:r>
        <w:rPr>
          <w:rFonts w:ascii="Calibri" w:hAnsi="Calibri"/>
          <w:b w:val="0"/>
          <w:color w:val="526977"/>
          <w:sz w:val="18"/>
        </w:rPr>
        <w:t>25 мышей · 63 живых состояний · недели 0 / 16 / 24. Сплошная цветная линия — мышь; тёмно-серый пунктир — соединение с её номером. Номер у последней доступной точки.</w:t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D1 · двигательная активность — OFT / rear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50976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traject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D2 · обучение и выносливость — Learning / Endurance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50976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trajecto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7"/>
        </w:rPr>
        <w:t>Вывод: индивидуальные траектории различаются; 0 — среднее исходное положение, а не отсутствие функции.</w:t>
      </w:r>
    </w:p>
    <w:p>
      <w:r>
        <w:br w:type="page"/>
      </w:r>
    </w:p>
    <w:p>
      <w:pPr>
        <w:spacing w:after="120" w:before="0" w:line="257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Динамика доменов · продолжение</w:t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D3 · исследовательское поведение — NOR1 + NOR2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509760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trajecto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Средние баллы D1–D3 · PBS / LPS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258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n_traject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258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7"/>
        </w:rPr>
        <w:t>D3 рассчитан по отдельной трёхфакторной Spearman-EFA. На графиках показана наблюдаемая динамика; причинный эффект не оценивается.</w:t>
      </w:r>
    </w:p>
    <w:p>
      <w:r>
        <w:br w:type="page"/>
      </w:r>
    </w:p>
    <w:p>
      <w:pPr>
        <w:spacing w:after="120" w:before="0" w:line="257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Точность прогноза · ΔD против прогноза будущего балла</w:t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7"/>
        </w:rPr>
        <w:t>12 задач: 3 домена × 4 интервала. Leave-one-mouse-out. MAE — средняя абсолютная ошибка, меньше — лучше. ▼ — лучший метод. Regularization и параметры неизменны.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6012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ight_method_ma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Кто выиграл по каждому домену?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601200" cy="23827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n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238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18"/>
        </w:rPr>
        <w:t>Итог: Bayesian Δ точнее прямой Bayesian в 6/12 задач; Huber Δ точнее прямой Huber в 6/12. Новые Δ-методы — лучшие из восьми в 0/12.</w:t>
      </w:r>
    </w:p>
    <w:p>
      <w:r>
        <w:br w:type="page"/>
      </w:r>
    </w:p>
    <w:p>
      <w:pPr>
        <w:spacing w:after="120" w:before="0" w:line="257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Факт против прогноза · 12 независимых проверок</w:t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7"/>
        </w:rPr>
        <w:t>Ряды: PBS 0→16 (n=9), PBS 16→24 (n=6), LPS 16→24 (n=11), PBS 0→24 (n=6). Столбцы: D1–D3; кружки — Bayesian Δ, квадраты — Huber Δ; пунктир — идеальный прогноз.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692640" cy="52024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models_actual_vs_predi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20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16"/>
        </w:rPr>
        <w:t>Вывод: при n=6–11 разница в MAE нестабильна. Выбирать модель по отдельным выигрышам на LOOCV нельзя.</w:t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5"/>
        </w:rPr>
        <w:t>Источник: GitHub / LisaGaydamaka/coworking / mouse_neuroplasticity_enri. EFA-баллы и исходная импутация рассчитаны до CV. LOOCV валидирует только регрессию на фиксированных баллах. Только мыши с обеими живыми точками.</w:t>
      </w:r>
    </w:p>
    <w:sectPr w:rsidR="00FC693F" w:rsidRPr="0006063C" w:rsidSect="00034616">
      <w:footerReference w:type="default" r:id="rId9"/>
      <w:pgSz w:w="16834" w:h="11909"/>
      <w:pgMar w:top="547" w:right="634" w:bottom="576" w:left="634" w:header="187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B8790"/>
        <w:sz w:val="16"/>
      </w:rPr>
      <w:t>24.10.2026 · eNRI / 3 домена · ΔD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