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before="0" w:line="247" w:lineRule="auto"/>
        <w:pBdr>
          <w:bottom w:val="single" w:sz="9" w:color="5484A2"/>
        </w:pBdr>
      </w:pPr>
      <w:r>
        <w:rPr>
          <w:rFonts w:ascii="Calibri" w:hAnsi="Calibri"/>
          <w:b/>
          <w:color w:val="2E4C5D"/>
          <w:sz w:val="34"/>
        </w:rPr>
        <w:t>Динамика трёх доменов · PBS и LPS</w:t>
      </w:r>
    </w:p>
    <w:p>
      <w:pPr>
        <w:spacing w:after="100" w:before="0" w:line="247" w:lineRule="auto"/>
      </w:pPr>
      <w:r>
        <w:rPr>
          <w:rFonts w:ascii="Calibri" w:hAnsi="Calibri"/>
          <w:b w:val="0"/>
          <w:color w:val="637985"/>
          <w:sz w:val="17"/>
        </w:rPr>
        <w:t>25 мышей · 63 живых состояний · 0 / 16 / 24 недели. Сплошные линии — мыши; тёмный пунктир — линии к номерам.</w:t>
      </w:r>
    </w:p>
    <w:p>
      <w:pPr>
        <w:spacing w:after="40" w:before="0" w:line="247" w:lineRule="auto"/>
      </w:pPr>
      <w:r>
        <w:rPr>
          <w:rFonts w:ascii="Calibri" w:hAnsi="Calibri"/>
          <w:b/>
          <w:color w:val="2E4C5D"/>
          <w:sz w:val="22"/>
        </w:rPr>
        <w:t>D1 · двигательная активность — OFT / rear</w:t>
      </w:r>
    </w:p>
    <w:p>
      <w:pPr>
        <w:spacing w:after="60" w:before="0"/>
        <w:jc w:val="center"/>
      </w:pPr>
      <w:r>
        <w:drawing>
          <wp:inline xmlns:a="http://schemas.openxmlformats.org/drawingml/2006/main" xmlns:pic="http://schemas.openxmlformats.org/drawingml/2006/picture">
            <wp:extent cx="9464040" cy="23341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_trajectori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464040" cy="23341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47" w:lineRule="auto"/>
      </w:pPr>
      <w:r>
        <w:rPr>
          <w:rFonts w:ascii="Calibri" w:hAnsi="Calibri"/>
          <w:b/>
          <w:color w:val="2E4C5D"/>
          <w:sz w:val="22"/>
        </w:rPr>
        <w:t>D2 · обучение и выносливость — Learning / Endurance</w:t>
      </w:r>
    </w:p>
    <w:p>
      <w:pPr>
        <w:spacing w:after="60" w:before="0"/>
        <w:jc w:val="center"/>
      </w:pPr>
      <w:r>
        <w:drawing>
          <wp:inline xmlns:a="http://schemas.openxmlformats.org/drawingml/2006/main" xmlns:pic="http://schemas.openxmlformats.org/drawingml/2006/picture">
            <wp:extent cx="9464040" cy="233412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2_trajectori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464040" cy="23341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0" w:line="247" w:lineRule="auto"/>
      </w:pPr>
      <w:r>
        <w:rPr>
          <w:rFonts w:ascii="Calibri" w:hAnsi="Calibri"/>
          <w:b w:val="0"/>
          <w:color w:val="637985"/>
          <w:sz w:val="17"/>
        </w:rPr>
        <w:t>Вывод: индивидуальные изменения разнонаправлены; 0 означает центр исходной шкалы.</w:t>
      </w:r>
    </w:p>
    <w:p>
      <w:r>
        <w:br w:type="page"/>
      </w:r>
    </w:p>
    <w:p>
      <w:pPr>
        <w:spacing w:after="100" w:before="0" w:line="247" w:lineRule="auto"/>
        <w:pBdr>
          <w:bottom w:val="single" w:sz="9" w:color="5484A2"/>
        </w:pBdr>
      </w:pPr>
      <w:r>
        <w:rPr>
          <w:rFonts w:ascii="Calibri" w:hAnsi="Calibri"/>
          <w:b/>
          <w:color w:val="2E4C5D"/>
          <w:sz w:val="34"/>
        </w:rPr>
        <w:t>Динамика доменов · продолжение</w:t>
      </w:r>
    </w:p>
    <w:p>
      <w:pPr>
        <w:spacing w:after="40" w:before="0" w:line="247" w:lineRule="auto"/>
      </w:pPr>
      <w:r>
        <w:rPr>
          <w:rFonts w:ascii="Calibri" w:hAnsi="Calibri"/>
          <w:b/>
          <w:color w:val="2E4C5D"/>
          <w:sz w:val="22"/>
        </w:rPr>
        <w:t>D3 · исследовательское поведение — NOR1 + NOR2</w:t>
      </w:r>
    </w:p>
    <w:p>
      <w:pPr>
        <w:spacing w:after="60" w:before="0"/>
        <w:jc w:val="center"/>
      </w:pPr>
      <w:r>
        <w:drawing>
          <wp:inline xmlns:a="http://schemas.openxmlformats.org/drawingml/2006/main" xmlns:pic="http://schemas.openxmlformats.org/drawingml/2006/picture">
            <wp:extent cx="9464040" cy="233412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3_trajectori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464040" cy="23341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47" w:lineRule="auto"/>
      </w:pPr>
      <w:r>
        <w:rPr>
          <w:rFonts w:ascii="Calibri" w:hAnsi="Calibri"/>
          <w:b/>
          <w:color w:val="2E4C5D"/>
          <w:sz w:val="22"/>
        </w:rPr>
        <w:t>Средние баллы D1–D3 · PBS / LPS</w:t>
      </w:r>
    </w:p>
    <w:p>
      <w:pPr>
        <w:spacing w:after="60" w:before="0"/>
        <w:jc w:val="center"/>
      </w:pPr>
      <w:r>
        <w:drawing>
          <wp:inline xmlns:a="http://schemas.openxmlformats.org/drawingml/2006/main" xmlns:pic="http://schemas.openxmlformats.org/drawingml/2006/picture">
            <wp:extent cx="9372600" cy="22381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an_trajectori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372600" cy="2238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47" w:lineRule="auto"/>
      </w:pPr>
      <w:r>
        <w:rPr>
          <w:rFonts w:ascii="Calibri" w:hAnsi="Calibri"/>
          <w:b w:val="0"/>
          <w:color w:val="637985"/>
          <w:sz w:val="16"/>
        </w:rPr>
        <w:t>Bootstrap: 100 выборок мышей С ВОЗВРАЩЕНИЕМ только из обучающей части; прогнозы 100 отдельных моделей усредняются. Исключённая мышь не участвует в обучении. Не создаются новые независимые животные.</w:t>
      </w:r>
    </w:p>
    <w:p>
      <w:r>
        <w:br w:type="page"/>
      </w:r>
    </w:p>
    <w:p>
      <w:pPr>
        <w:spacing w:after="100" w:before="0" w:line="247" w:lineRule="auto"/>
        <w:pBdr>
          <w:bottom w:val="single" w:sz="9" w:color="5484A2"/>
        </w:pBdr>
      </w:pPr>
      <w:r>
        <w:rPr>
          <w:rFonts w:ascii="Calibri" w:hAnsi="Calibri"/>
          <w:b/>
          <w:color w:val="2E4C5D"/>
          <w:sz w:val="34"/>
        </w:rPr>
        <w:t>Точность прогноза · обычная модель / bootstrap</w:t>
      </w:r>
    </w:p>
    <w:p>
      <w:pPr>
        <w:spacing w:after="60" w:before="0" w:line="247" w:lineRule="auto"/>
      </w:pPr>
      <w:r>
        <w:rPr>
          <w:rFonts w:ascii="Calibri" w:hAnsi="Calibri"/>
          <w:b w:val="0"/>
          <w:color w:val="637985"/>
          <w:sz w:val="17"/>
        </w:rPr>
        <w:t>12 задач, n=6–11. Leave-one-mouse-out. Ridge, Bayesian Ridge, Huber: 100 bootstrap-выборок для каждого исключения мыши; MAE меньше = лучше.</w:t>
      </w:r>
    </w:p>
    <w:p>
      <w:pPr>
        <w:spacing w:after="60" w:before="0"/>
        <w:jc w:val="center"/>
      </w:pPr>
      <w:r>
        <w:drawing>
          <wp:inline xmlns:a="http://schemas.openxmlformats.org/drawingml/2006/main" xmlns:pic="http://schemas.openxmlformats.org/drawingml/2006/picture">
            <wp:extent cx="8732520" cy="340701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e_bootstrap_vs_direc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732520" cy="34070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47" w:lineRule="auto"/>
      </w:pPr>
      <w:r>
        <w:rPr>
          <w:rFonts w:ascii="Calibri" w:hAnsi="Calibri"/>
          <w:b/>
          <w:color w:val="2E4C5D"/>
          <w:sz w:val="20"/>
        </w:rPr>
        <w:t>Лучший способ · три регрессии с bootstrap/без него и два простых прогноза</w:t>
      </w:r>
    </w:p>
    <w:p>
      <w:pPr>
        <w:spacing w:after="60" w:before="0"/>
        <w:jc w:val="center"/>
      </w:pPr>
      <w:r>
        <w:drawing>
          <wp:inline xmlns:a="http://schemas.openxmlformats.org/drawingml/2006/main" xmlns:pic="http://schemas.openxmlformats.org/drawingml/2006/picture">
            <wp:extent cx="8961120" cy="216937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st_method_by_domai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961120" cy="2169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47" w:lineRule="auto"/>
      </w:pPr>
      <w:r>
        <w:rPr>
          <w:rFonts w:ascii="Calibri" w:hAnsi="Calibri"/>
          <w:b/>
          <w:color w:val="2E4C5D"/>
          <w:sz w:val="17"/>
        </w:rPr>
        <w:t>Итог: bootstrap уменьшил MAE в 6/12 задач Ridge, 5/12 Bayesian Ridge, 7/12 Huber. Bootstrap-модель лучшая из восьми в 2/12.</w:t>
      </w:r>
    </w:p>
    <w:p>
      <w:r>
        <w:br w:type="page"/>
      </w:r>
    </w:p>
    <w:p>
      <w:pPr>
        <w:spacing w:after="100" w:before="0" w:line="247" w:lineRule="auto"/>
        <w:pBdr>
          <w:bottom w:val="single" w:sz="9" w:color="5484A2"/>
        </w:pBdr>
      </w:pPr>
      <w:r>
        <w:rPr>
          <w:rFonts w:ascii="Calibri" w:hAnsi="Calibri"/>
          <w:b/>
          <w:color w:val="2E4C5D"/>
          <w:sz w:val="34"/>
        </w:rPr>
        <w:t>Факт против прогноза · 12 проверок Ridge + bootstrap</w:t>
      </w:r>
    </w:p>
    <w:p>
      <w:pPr>
        <w:spacing w:after="100" w:before="0" w:line="247" w:lineRule="auto"/>
      </w:pPr>
      <w:r>
        <w:rPr>
          <w:rFonts w:ascii="Calibri" w:hAnsi="Calibri"/>
          <w:b w:val="0"/>
          <w:color w:val="637985"/>
          <w:sz w:val="17"/>
        </w:rPr>
        <w:t>Ряды: PBS 0→16 (n=9), PBS 16→24 (n=6), LPS 16→24 (n=11), PBS 0→24 (n=6). Столбцы D1–D3; пунктир — идеальный прогноз.</w:t>
      </w:r>
    </w:p>
    <w:p>
      <w:pPr>
        <w:spacing w:after="60" w:before="0"/>
        <w:jc w:val="center"/>
      </w:pPr>
      <w:r>
        <w:drawing>
          <wp:inline xmlns:a="http://schemas.openxmlformats.org/drawingml/2006/main" xmlns:pic="http://schemas.openxmlformats.org/drawingml/2006/picture">
            <wp:extent cx="9601200" cy="518070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dge_bootstrap_actual_vs_predic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601200" cy="51807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47" w:lineRule="auto"/>
      </w:pPr>
      <w:r>
        <w:rPr>
          <w:rFonts w:ascii="Calibri" w:hAnsi="Calibri"/>
          <w:b/>
          <w:color w:val="2E4C5D"/>
          <w:sz w:val="16"/>
        </w:rPr>
        <w:t>Вывод: bootstrap оценивает зависимость прогноза от обучающих мышей и может снизить вариабельность алгоритма, но не увеличивает реальный размер выборки.</w:t>
      </w:r>
    </w:p>
    <w:p>
      <w:pPr>
        <w:spacing w:after="0" w:before="0" w:line="247" w:lineRule="auto"/>
      </w:pPr>
      <w:r>
        <w:rPr>
          <w:rFonts w:ascii="Calibri" w:hAnsi="Calibri"/>
          <w:b w:val="0"/>
          <w:color w:val="637985"/>
          <w:sz w:val="15"/>
        </w:rPr>
        <w:t>Ограничения: EFA и исходная импутация выполнены до CV; проверена только регрессия при фиксированных доменных баллах. Выборка ограничена мышами с обеими точками; n=6–11, нет внешней валидации.</w:t>
      </w:r>
    </w:p>
    <w:sectPr w:rsidR="00FC693F" w:rsidRPr="0006063C" w:rsidSect="00034616">
      <w:footerReference w:type="default" r:id="rId9"/>
      <w:pgSz w:w="16834" w:h="11909"/>
      <w:pgMar w:top="547" w:right="634" w:bottom="576" w:left="634" w:header="720" w:footer="23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7D8990"/>
        <w:sz w:val="16"/>
      </w:rPr>
      <w:t>24.10.2026 · eNRI / 3 домена · bootstrap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