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257" w:lineRule="auto"/>
        <w:pBdr>
          <w:bottom w:val="single" w:sz="9" w:space="3" w:color="5484A2"/>
        </w:pBdr>
      </w:pPr>
      <w:r>
        <w:rPr>
          <w:rFonts w:ascii="Calibri" w:hAnsi="Calibri"/>
          <w:b/>
          <w:color w:val="274658"/>
          <w:sz w:val="34"/>
        </w:rPr>
        <w:t>Динамика трёх доменов · PBS и LPS</w:t>
      </w:r>
    </w:p>
    <w:p>
      <w:pPr>
        <w:spacing w:after="120" w:before="0" w:line="257" w:lineRule="auto"/>
      </w:pPr>
      <w:r>
        <w:rPr>
          <w:rFonts w:ascii="Calibri" w:hAnsi="Calibri"/>
          <w:b w:val="0"/>
          <w:color w:val="526977"/>
          <w:sz w:val="18"/>
        </w:rPr>
        <w:t>25 мышей · 63 живых состояний · недели 0 / 16 / 24. Сплошная цветная линия — мышь; тёмно-серый пунктир — соединение с её номером. Номер у последней доступной точки.</w:t>
      </w:r>
    </w:p>
    <w:p>
      <w:pPr>
        <w:spacing w:after="60" w:before="0" w:line="257" w:lineRule="auto"/>
      </w:pPr>
      <w:r>
        <w:rPr>
          <w:rFonts w:ascii="Calibri" w:hAnsi="Calibri"/>
          <w:b/>
          <w:color w:val="274658"/>
          <w:sz w:val="22"/>
        </w:rPr>
        <w:t>D1 · двигательная активность — OFT / rear</w:t>
      </w:r>
    </w:p>
    <w:p>
      <w:pPr>
        <w:spacing w:after="80" w:before="0"/>
        <w:jc w:val="center"/>
      </w:pPr>
      <w:r>
        <w:drawing>
          <wp:inline xmlns:a="http://schemas.openxmlformats.org/drawingml/2006/main" xmlns:pic="http://schemas.openxmlformats.org/drawingml/2006/picture">
            <wp:extent cx="9509760" cy="2377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_trajectori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50976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0" w:line="257" w:lineRule="auto"/>
      </w:pPr>
      <w:r>
        <w:rPr>
          <w:rFonts w:ascii="Calibri" w:hAnsi="Calibri"/>
          <w:b/>
          <w:color w:val="274658"/>
          <w:sz w:val="22"/>
        </w:rPr>
        <w:t>D2 · обучение и выносливость — Learning / Endurance</w:t>
      </w:r>
    </w:p>
    <w:p>
      <w:pPr>
        <w:spacing w:after="80" w:before="0"/>
        <w:jc w:val="center"/>
      </w:pPr>
      <w:r>
        <w:drawing>
          <wp:inline xmlns:a="http://schemas.openxmlformats.org/drawingml/2006/main" xmlns:pic="http://schemas.openxmlformats.org/drawingml/2006/picture">
            <wp:extent cx="9509760" cy="23774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_trajectori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50976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0" w:line="257" w:lineRule="auto"/>
      </w:pPr>
      <w:r>
        <w:rPr>
          <w:rFonts w:ascii="Calibri" w:hAnsi="Calibri"/>
          <w:b w:val="0"/>
          <w:color w:val="526977"/>
          <w:sz w:val="17"/>
        </w:rPr>
        <w:t>Вывод: индивидуальные траектории неодинаковы; 0 — среднее положение на исходной неделе, а не отсутствие функции.</w:t>
      </w:r>
    </w:p>
    <w:p>
      <w:r>
        <w:br w:type="page"/>
      </w:r>
    </w:p>
    <w:p>
      <w:pPr>
        <w:spacing w:after="120" w:before="0" w:line="257" w:lineRule="auto"/>
        <w:pBdr>
          <w:bottom w:val="single" w:sz="9" w:space="3" w:color="5484A2"/>
        </w:pBdr>
      </w:pPr>
      <w:r>
        <w:rPr>
          <w:rFonts w:ascii="Calibri" w:hAnsi="Calibri"/>
          <w:b/>
          <w:color w:val="274658"/>
          <w:sz w:val="34"/>
        </w:rPr>
        <w:t>Динамика доменов · продолжение</w:t>
      </w:r>
    </w:p>
    <w:p>
      <w:pPr>
        <w:spacing w:after="60" w:before="0" w:line="257" w:lineRule="auto"/>
      </w:pPr>
      <w:r>
        <w:rPr>
          <w:rFonts w:ascii="Calibri" w:hAnsi="Calibri"/>
          <w:b/>
          <w:color w:val="274658"/>
          <w:sz w:val="22"/>
        </w:rPr>
        <w:t>D3 · исследовательское поведение — NOR1 + NOR2</w:t>
      </w:r>
    </w:p>
    <w:p>
      <w:pPr>
        <w:spacing w:after="80" w:before="0"/>
        <w:jc w:val="center"/>
      </w:pPr>
      <w:r>
        <w:drawing>
          <wp:inline xmlns:a="http://schemas.openxmlformats.org/drawingml/2006/main" xmlns:pic="http://schemas.openxmlformats.org/drawingml/2006/picture">
            <wp:extent cx="9509760" cy="23774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_trajectori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50976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0" w:line="257" w:lineRule="auto"/>
      </w:pPr>
      <w:r>
        <w:rPr>
          <w:rFonts w:ascii="Calibri" w:hAnsi="Calibri"/>
          <w:b/>
          <w:color w:val="274658"/>
          <w:sz w:val="22"/>
        </w:rPr>
        <w:t>Средние баллы D1–D3 · PBS / LPS</w:t>
      </w:r>
    </w:p>
    <w:p>
      <w:pPr>
        <w:spacing w:after="80" w:before="0"/>
        <w:jc w:val="center"/>
      </w:pPr>
      <w:r>
        <w:drawing>
          <wp:inline xmlns:a="http://schemas.openxmlformats.org/drawingml/2006/main" xmlns:pic="http://schemas.openxmlformats.org/drawingml/2006/picture">
            <wp:extent cx="9464040" cy="22585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n_trajectori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464040" cy="2258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0" w:line="257" w:lineRule="auto"/>
      </w:pPr>
      <w:r>
        <w:rPr>
          <w:rFonts w:ascii="Calibri" w:hAnsi="Calibri"/>
          <w:b w:val="0"/>
          <w:color w:val="526977"/>
          <w:sz w:val="17"/>
        </w:rPr>
        <w:t>В анализ прогноза входят только PBS и LPS; D3 рассчитан отдельной EFA на трёх факторах. На графиках показана наблюдаемая динамика, не причинный эффект.</w:t>
      </w:r>
    </w:p>
    <w:p>
      <w:r>
        <w:br w:type="page"/>
      </w:r>
    </w:p>
    <w:p>
      <w:pPr>
        <w:spacing w:after="120" w:before="0" w:line="257" w:lineRule="auto"/>
        <w:pBdr>
          <w:bottom w:val="single" w:sz="9" w:space="3" w:color="5484A2"/>
        </w:pBdr>
      </w:pPr>
      <w:r>
        <w:rPr>
          <w:rFonts w:ascii="Calibri" w:hAnsi="Calibri"/>
          <w:b/>
          <w:color w:val="274658"/>
          <w:sz w:val="34"/>
        </w:rPr>
        <w:t>Точность прогноза · Bayesian Ridge / Ridge / без изменений / среднее</w:t>
      </w:r>
    </w:p>
    <w:p>
      <w:pPr>
        <w:spacing w:after="60" w:before="0" w:line="257" w:lineRule="auto"/>
      </w:pPr>
      <w:r>
        <w:rPr>
          <w:rFonts w:ascii="Calibri" w:hAnsi="Calibri"/>
          <w:b w:val="0"/>
          <w:color w:val="526977"/>
          <w:sz w:val="17"/>
        </w:rPr>
        <w:t>12 задач: 3 домена × 4 интервала. Leave-one-mouse-out: в каждом прогнозе одна мышь исключена из обучения. MAE — средняя абсолютная ошибка; меньше — лучше. ▼ — лучший метод.</w:t>
      </w:r>
    </w:p>
    <w:p>
      <w:pPr>
        <w:spacing w:after="80" w:before="0"/>
        <w:jc w:val="center"/>
      </w:pPr>
      <w:r>
        <w:drawing>
          <wp:inline xmlns:a="http://schemas.openxmlformats.org/drawingml/2006/main" xmlns:pic="http://schemas.openxmlformats.org/drawingml/2006/picture">
            <wp:extent cx="9601200" cy="2743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ur_method_ma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601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0" w:line="257" w:lineRule="auto"/>
      </w:pPr>
      <w:r>
        <w:rPr>
          <w:rFonts w:ascii="Calibri" w:hAnsi="Calibri"/>
          <w:b/>
          <w:color w:val="274658"/>
          <w:sz w:val="22"/>
        </w:rPr>
        <w:t>Кто выиграл по каждому домену?</w:t>
      </w:r>
    </w:p>
    <w:p>
      <w:pPr>
        <w:spacing w:after="80" w:before="0"/>
        <w:jc w:val="center"/>
      </w:pPr>
      <w:r>
        <w:drawing>
          <wp:inline xmlns:a="http://schemas.openxmlformats.org/drawingml/2006/main" xmlns:pic="http://schemas.openxmlformats.org/drawingml/2006/picture">
            <wp:extent cx="9601200" cy="238274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nner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601200" cy="2382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0" w:line="257" w:lineRule="auto"/>
      </w:pPr>
      <w:r>
        <w:rPr>
          <w:rFonts w:ascii="Calibri" w:hAnsi="Calibri"/>
          <w:b/>
          <w:color w:val="274658"/>
          <w:sz w:val="18"/>
        </w:rPr>
        <w:t>Итог: Bayesian Ridge точнее прежней Ridge в 6/12 задач; выигрывает у обеих простых альтернатив в 1/12 и является лучшим из всех четырёх методов в 0/12.</w:t>
      </w:r>
    </w:p>
    <w:p>
      <w:r>
        <w:br w:type="page"/>
      </w:r>
    </w:p>
    <w:p>
      <w:pPr>
        <w:spacing w:after="120" w:before="0" w:line="257" w:lineRule="auto"/>
        <w:pBdr>
          <w:bottom w:val="single" w:sz="9" w:space="3" w:color="5484A2"/>
        </w:pBdr>
      </w:pPr>
      <w:r>
        <w:rPr>
          <w:rFonts w:ascii="Calibri" w:hAnsi="Calibri"/>
          <w:b/>
          <w:color w:val="274658"/>
          <w:sz w:val="34"/>
        </w:rPr>
        <w:t>Факт против прогноза · 12 независимых проверок</w:t>
      </w:r>
    </w:p>
    <w:p>
      <w:pPr>
        <w:spacing w:after="60" w:before="0" w:line="257" w:lineRule="auto"/>
      </w:pPr>
      <w:r>
        <w:rPr>
          <w:rFonts w:ascii="Calibri" w:hAnsi="Calibri"/>
          <w:b w:val="0"/>
          <w:color w:val="526977"/>
          <w:sz w:val="17"/>
        </w:rPr>
        <w:t>Ряды: PBS 0→16 (n=9), PBS 16→24 (n=6), LPS 16→24 (n=11), PBS 0→24 (n=6). Столбцы: D1–D3. Пунктир — идеальный прогноз.</w:t>
      </w:r>
    </w:p>
    <w:p>
      <w:pPr>
        <w:spacing w:after="80" w:before="0"/>
        <w:jc w:val="center"/>
      </w:pPr>
      <w:r>
        <w:drawing>
          <wp:inline xmlns:a="http://schemas.openxmlformats.org/drawingml/2006/main" xmlns:pic="http://schemas.openxmlformats.org/drawingml/2006/picture">
            <wp:extent cx="9692640" cy="520245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yes_actual_vs_predic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692640" cy="5202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0" w:line="257" w:lineRule="auto"/>
      </w:pPr>
      <w:r>
        <w:rPr>
          <w:rFonts w:ascii="Calibri" w:hAnsi="Calibri"/>
          <w:b/>
          <w:color w:val="274658"/>
          <w:sz w:val="17"/>
        </w:rPr>
        <w:t>Вывод: небольшой размер выборки (n=6–11) ограничивает устойчивость результатов; меньшая ошибка при LOOCV не гарантирует переноса на новых мышей.</w:t>
      </w:r>
    </w:p>
    <w:p>
      <w:pPr>
        <w:spacing w:after="60" w:before="0" w:line="257" w:lineRule="auto"/>
      </w:pPr>
      <w:r>
        <w:rPr>
          <w:rFonts w:ascii="Calibri" w:hAnsi="Calibri"/>
          <w:b w:val="0"/>
          <w:color w:val="526977"/>
          <w:sz w:val="15"/>
        </w:rPr>
        <w:t>Источник: GitHub / LisaGaydamaka/coworking / mouse_neuroplasticity_enri. Факторные баллы исходно рассчитаны на всех baseline-мышах; LOOCV проверяет регрессию при фиксированной EFA, не весь цикл предобработки. Только мыши с обеими доступными точками; результат условен на выживании.</w:t>
      </w:r>
    </w:p>
    <w:sectPr w:rsidR="00FC693F" w:rsidRPr="0006063C" w:rsidSect="00034616">
      <w:footerReference w:type="default" r:id="rId9"/>
      <w:pgSz w:w="16834" w:h="11909"/>
      <w:pgMar w:top="547" w:right="634" w:bottom="576" w:left="634" w:header="187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B8790"/>
        <w:sz w:val="16"/>
      </w:rPr>
      <w:t>24.10.2026 · eNRI / 3 домена · Bayesian Ridge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