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DATA Definitions</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t>Cases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Cases (confirmed plus probable)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positive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confirmed plus probable cases</w:t>
      </w:r>
      <w:r w:rsidRPr="005529C7">
        <w:rPr>
          <w:rFonts w:ascii="Times New Roman" w:eastAsia="Times New Roman" w:hAnsi="Times New Roman" w:cs="Times New Roman"/>
        </w:rPr>
        <w:t> of COVID-19 reported by the state or territory, ideally per the </w:t>
      </w:r>
      <w:hyperlink r:id="rId4" w:history="1">
        <w:r w:rsidRPr="005529C7">
          <w:rPr>
            <w:rFonts w:ascii="Times New Roman" w:eastAsia="Times New Roman" w:hAnsi="Times New Roman" w:cs="Times New Roman"/>
            <w:color w:val="0000FF"/>
            <w:u w:val="single"/>
          </w:rPr>
          <w:t>August 5, 2020 CSTE case definition</w:t>
        </w:r>
      </w:hyperlink>
      <w:r w:rsidRPr="005529C7">
        <w:rPr>
          <w:rFonts w:ascii="Times New Roman" w:eastAsia="Times New Roman" w:hAnsi="Times New Roman" w:cs="Times New Roman"/>
        </w:rPr>
        <w:t>. Some states are following the older </w:t>
      </w:r>
      <w:hyperlink r:id="rId5" w:history="1">
        <w:r w:rsidRPr="005529C7">
          <w:rPr>
            <w:rFonts w:ascii="Times New Roman" w:eastAsia="Times New Roman" w:hAnsi="Times New Roman" w:cs="Times New Roman"/>
            <w:color w:val="0000FF"/>
            <w:u w:val="single"/>
          </w:rPr>
          <w:t>April 5th, 2020 CSTE case definition</w:t>
        </w:r>
      </w:hyperlink>
      <w:r w:rsidRPr="005529C7">
        <w:rPr>
          <w:rFonts w:ascii="Times New Roman" w:eastAsia="Times New Roman" w:hAnsi="Times New Roman" w:cs="Times New Roman"/>
        </w:rPr>
        <w:t> or using their own custom definitions. Not all states and territories report probable cases. If a state is not reporting probable cases, this field will just represent confirmed cases.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New cases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positiveIncrease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The daily increase in API field </w:t>
      </w:r>
      <w:r w:rsidRPr="005529C7">
        <w:rPr>
          <w:rFonts w:ascii="Times New Roman" w:eastAsia="Times New Roman" w:hAnsi="Times New Roman" w:cs="Times New Roman"/>
          <w:i/>
          <w:iCs/>
        </w:rPr>
        <w:t>positive</w:t>
      </w:r>
      <w:r w:rsidRPr="005529C7">
        <w:rPr>
          <w:rFonts w:ascii="Times New Roman" w:eastAsia="Times New Roman" w:hAnsi="Times New Roman" w:cs="Times New Roman"/>
        </w:rPr>
        <w:t>, which measures </w:t>
      </w:r>
      <w:r w:rsidRPr="005529C7">
        <w:rPr>
          <w:rFonts w:ascii="Times New Roman" w:eastAsia="Times New Roman" w:hAnsi="Times New Roman" w:cs="Times New Roman"/>
          <w:b/>
          <w:bCs/>
        </w:rPr>
        <w:t>Cases (confirmed plus probable)</w:t>
      </w:r>
      <w:r w:rsidRPr="005529C7">
        <w:rPr>
          <w:rFonts w:ascii="Times New Roman" w:eastAsia="Times New Roman" w:hAnsi="Times New Roman" w:cs="Times New Roman"/>
        </w:rPr>
        <w:t> calculated based on the previous day’s value.</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Probable Cases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probableCases</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probable cases of COVID-19</w:t>
      </w:r>
      <w:r w:rsidRPr="005529C7">
        <w:rPr>
          <w:rFonts w:ascii="Times New Roman" w:eastAsia="Times New Roman" w:hAnsi="Times New Roman" w:cs="Times New Roman"/>
        </w:rPr>
        <w:t> as reported by the state or territory, ideally per the </w:t>
      </w:r>
      <w:hyperlink r:id="rId6" w:history="1">
        <w:r w:rsidRPr="005529C7">
          <w:rPr>
            <w:rFonts w:ascii="Times New Roman" w:eastAsia="Times New Roman" w:hAnsi="Times New Roman" w:cs="Times New Roman"/>
            <w:color w:val="0000FF"/>
            <w:u w:val="single"/>
          </w:rPr>
          <w:t>August 5, 2020 CSTE case definition</w:t>
        </w:r>
      </w:hyperlink>
      <w:r w:rsidRPr="005529C7">
        <w:rPr>
          <w:rFonts w:ascii="Times New Roman" w:eastAsia="Times New Roman" w:hAnsi="Times New Roman" w:cs="Times New Roman"/>
        </w:rPr>
        <w:t>. By this definition, a probable case is someone who tests positive via antigen without a positive PCR or other approved nucleic acid amplification test (NAAT), someone with clinical and epidemiological evidence of COVID-19 infection with no confirmatory laboratory testing performed for SARS-CoV-2, or someone with COVID-19 listed on their death certificate with no confirmatory laboratory testing performed for SARS-CoV-2. Some states are following the older </w:t>
      </w:r>
      <w:hyperlink r:id="rId7" w:history="1">
        <w:r w:rsidRPr="005529C7">
          <w:rPr>
            <w:rFonts w:ascii="Times New Roman" w:eastAsia="Times New Roman" w:hAnsi="Times New Roman" w:cs="Times New Roman"/>
            <w:color w:val="0000FF"/>
            <w:u w:val="single"/>
          </w:rPr>
          <w:t>April 5th, 2020 CSTE case definition</w:t>
        </w:r>
      </w:hyperlink>
      <w:r w:rsidRPr="005529C7">
        <w:rPr>
          <w:rFonts w:ascii="Times New Roman" w:eastAsia="Times New Roman" w:hAnsi="Times New Roman" w:cs="Times New Roman"/>
        </w:rPr>
        <w:t> or using their own custom definitions.</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t>PCR tests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Confirmed Cases or Positive PCR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positiveCasesViral</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unique people with a positive PCR or other approved nucleic acid amplification test (NAAT)</w:t>
      </w:r>
      <w:r w:rsidRPr="005529C7">
        <w:rPr>
          <w:rFonts w:ascii="Times New Roman" w:eastAsia="Times New Roman" w:hAnsi="Times New Roman" w:cs="Times New Roman"/>
        </w:rPr>
        <w:t>, as reported by the state or territory. This is equivalent to a </w:t>
      </w:r>
      <w:r w:rsidRPr="005529C7">
        <w:rPr>
          <w:rFonts w:ascii="Times New Roman" w:eastAsia="Times New Roman" w:hAnsi="Times New Roman" w:cs="Times New Roman"/>
          <w:b/>
          <w:bCs/>
        </w:rPr>
        <w:t>confirmed case</w:t>
      </w:r>
      <w:r w:rsidRPr="005529C7">
        <w:rPr>
          <w:rFonts w:ascii="Times New Roman" w:eastAsia="Times New Roman" w:hAnsi="Times New Roman" w:cs="Times New Roman"/>
        </w:rPr>
        <w:t> as per the </w:t>
      </w:r>
      <w:hyperlink r:id="rId8" w:history="1">
        <w:r w:rsidRPr="005529C7">
          <w:rPr>
            <w:rFonts w:ascii="Times New Roman" w:eastAsia="Times New Roman" w:hAnsi="Times New Roman" w:cs="Times New Roman"/>
            <w:color w:val="0000FF"/>
            <w:u w:val="single"/>
          </w:rPr>
          <w:t>CSTE case definitions of August 5th, 2020</w:t>
        </w:r>
      </w:hyperlink>
      <w:r w:rsidRPr="005529C7">
        <w:rPr>
          <w:rFonts w:ascii="Times New Roman" w:eastAsia="Times New Roman" w:hAnsi="Times New Roman" w:cs="Times New Roman"/>
        </w:rPr>
        <w:t> and </w:t>
      </w:r>
      <w:hyperlink r:id="rId9" w:history="1">
        <w:r w:rsidRPr="005529C7">
          <w:rPr>
            <w:rFonts w:ascii="Times New Roman" w:eastAsia="Times New Roman" w:hAnsi="Times New Roman" w:cs="Times New Roman"/>
            <w:color w:val="0000FF"/>
            <w:u w:val="single"/>
          </w:rPr>
          <w:t>April 5th, 2020</w:t>
        </w:r>
      </w:hyperlink>
      <w:r w:rsidRPr="005529C7">
        <w:rPr>
          <w:rFonts w:ascii="Times New Roman" w:eastAsia="Times New Roman" w:hAnsi="Times New Roman" w:cs="Times New Roman"/>
        </w:rPr>
        <w:t>. If we discover a jurisdiction is labeling cases as confirmed using other evidence (e.g. positive antigen tests), we will annotate that state or territory’s data accordingly.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Negative PCR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negative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unique people with a completed PCR test that returns negative</w:t>
      </w:r>
      <w:r w:rsidRPr="005529C7">
        <w:rPr>
          <w:rFonts w:ascii="Times New Roman" w:eastAsia="Times New Roman" w:hAnsi="Times New Roman" w:cs="Times New Roman"/>
        </w:rPr>
        <w:t xml:space="preserve">. For states / territories that do not report this number directly, we compute it using one of several methods, depending on which data points the state provides. Due to complex reporting </w:t>
      </w:r>
      <w:r w:rsidRPr="005529C7">
        <w:rPr>
          <w:rFonts w:ascii="Times New Roman" w:eastAsia="Times New Roman" w:hAnsi="Times New Roman" w:cs="Times New Roman"/>
        </w:rPr>
        <w:lastRenderedPageBreak/>
        <w:t>procedures, this number might be mixing units and therefore, at best, it should only be considered an estimate of the number of people with a completed PCR test that return negative.</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Negative PCR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negativeTestsViral</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completed PCR tests (or specimens tested) that return negative</w:t>
      </w:r>
      <w:r w:rsidRPr="005529C7">
        <w:rPr>
          <w:rFonts w:ascii="Times New Roman" w:eastAsia="Times New Roman" w:hAnsi="Times New Roman" w:cs="Times New Roman"/>
        </w:rPr>
        <w:t> as reported by the state or territory. For states/territories that do not report this number directly, we compute it using one of several methods, depending on which data points the state provides. If we discover that a jurisdiction is including antigen tests in this metric, we will annotate that state or territory’s data accordingly.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Pending</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pending</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viral tests that have not been completed</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Positive PCR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positiveTestsViral</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completed PCR tests (or specimens tested) that return positive</w:t>
      </w:r>
      <w:r w:rsidRPr="005529C7">
        <w:rPr>
          <w:rFonts w:ascii="Times New Roman" w:eastAsia="Times New Roman" w:hAnsi="Times New Roman" w:cs="Times New Roman"/>
        </w:rPr>
        <w:t> as reported by the state or territory. If we discover that a jurisdiction is including antigen tests in this metric, we will annotate that state or territory’s data accordingly.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PCR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totalTestsPeopleViral</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unique people tested at least once via PCR testing</w:t>
      </w:r>
      <w:r w:rsidRPr="005529C7">
        <w:rPr>
          <w:rFonts w:ascii="Times New Roman" w:eastAsia="Times New Roman" w:hAnsi="Times New Roman" w:cs="Times New Roman"/>
        </w:rPr>
        <w:t>, as reported by the state or territory. The count for this metric is incremented up only the first time an individual person is tested and their result is reported. Future tests of the same person will not be added to this count.</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In the case where the state only provides negative cases, this field is calculated as the </w:t>
      </w:r>
      <w:r w:rsidRPr="005529C7">
        <w:rPr>
          <w:rFonts w:ascii="Times New Roman" w:eastAsia="Times New Roman" w:hAnsi="Times New Roman" w:cs="Times New Roman"/>
          <w:b/>
          <w:bCs/>
        </w:rPr>
        <w:t>summation</w:t>
      </w:r>
      <w:r w:rsidRPr="005529C7">
        <w:rPr>
          <w:rFonts w:ascii="Times New Roman" w:eastAsia="Times New Roman" w:hAnsi="Times New Roman" w:cs="Times New Roman"/>
        </w:rPr>
        <w:t> of people who tested positive (“Positive Cases (People”) and the number of people who tested negative (“Negative (People or Cases)”). If we discover that a jurisdiction is including antigen tests in this metric, we will annotate that state or territory’s data accordingly.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PCR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totalTestsViral</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PCR tests (or specimens tested)</w:t>
      </w:r>
      <w:r w:rsidRPr="005529C7">
        <w:rPr>
          <w:rFonts w:ascii="Times New Roman" w:eastAsia="Times New Roman" w:hAnsi="Times New Roman" w:cs="Times New Roman"/>
        </w:rPr>
        <w:t> as reported by the state or territory. The c</w:t>
      </w:r>
      <w:bookmarkStart w:id="0" w:name="_GoBack"/>
      <w:bookmarkEnd w:id="0"/>
      <w:r w:rsidRPr="005529C7">
        <w:rPr>
          <w:rFonts w:ascii="Times New Roman" w:eastAsia="Times New Roman" w:hAnsi="Times New Roman" w:cs="Times New Roman"/>
        </w:rPr>
        <w:t>ount for this metric is incremented up each time a specimen is tested and the result is reported. If we discover that a jurisdiction is including antigen tests in this metric, we will annotate that state or territory’s data accordingly. For states with ambiguous annotations, we have assigned their total tests to this category; these states and territories are identified in the new API field </w:t>
      </w:r>
      <w:proofErr w:type="spellStart"/>
      <w:r w:rsidRPr="005529C7">
        <w:rPr>
          <w:rFonts w:ascii="Times New Roman" w:eastAsia="Times New Roman" w:hAnsi="Times New Roman" w:cs="Times New Roman"/>
          <w:i/>
          <w:iCs/>
        </w:rPr>
        <w:t>covidTrackingProjectPreferredTotalTestUnits</w:t>
      </w:r>
      <w:proofErr w:type="spellEnd"/>
      <w:r w:rsidRPr="005529C7">
        <w:rPr>
          <w:rFonts w:ascii="Times New Roman" w:eastAsia="Times New Roman" w:hAnsi="Times New Roman" w:cs="Times New Roman"/>
        </w:rPr>
        <w:t> as having “Unclear units.”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lastRenderedPageBreak/>
        <w:t>Total PCR tests (test encounters)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totalTestEncountersViral</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people tested </w:t>
      </w:r>
      <w:r w:rsidRPr="005529C7">
        <w:rPr>
          <w:rFonts w:ascii="Times New Roman" w:eastAsia="Times New Roman" w:hAnsi="Times New Roman" w:cs="Times New Roman"/>
          <w:b/>
          <w:bCs/>
          <w:i/>
          <w:iCs/>
        </w:rPr>
        <w:t>per day</w:t>
      </w:r>
      <w:r w:rsidRPr="005529C7">
        <w:rPr>
          <w:rFonts w:ascii="Times New Roman" w:eastAsia="Times New Roman" w:hAnsi="Times New Roman" w:cs="Times New Roman"/>
          <w:b/>
          <w:bCs/>
        </w:rPr>
        <w:t> via PCR testing</w:t>
      </w:r>
      <w:r w:rsidRPr="005529C7">
        <w:rPr>
          <w:rFonts w:ascii="Times New Roman" w:eastAsia="Times New Roman" w:hAnsi="Times New Roman" w:cs="Times New Roman"/>
        </w:rPr>
        <w:t> as reported by the state or territory. The count for this metric is incremented up by one for each day on which an individual person is tested, no matter how many specimens are collected from that person on that day. If an individual person is tested twice a day on three different days, this count will increment up by three. If we discover that a jurisdiction is including antigen tests in this metric, we will annotate that state or territory’s data accordingly.</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t>Antibody tests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Negative antibody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negativeTestsPeopleAntibody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The total number of </w:t>
      </w:r>
      <w:r w:rsidRPr="005529C7">
        <w:rPr>
          <w:rFonts w:ascii="Times New Roman" w:eastAsia="Times New Roman" w:hAnsi="Times New Roman" w:cs="Times New Roman"/>
          <w:b/>
          <w:bCs/>
        </w:rPr>
        <w:t>unique people with completed antibody tests that return negative</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Negative antibody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negativeTestsAntibody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The total number of </w:t>
      </w:r>
      <w:r w:rsidRPr="005529C7">
        <w:rPr>
          <w:rFonts w:ascii="Times New Roman" w:eastAsia="Times New Roman" w:hAnsi="Times New Roman" w:cs="Times New Roman"/>
          <w:b/>
          <w:bCs/>
        </w:rPr>
        <w:t>completed antibody tests that return negative</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Positive antibody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positiveTestsPeopleAntibody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The total number of </w:t>
      </w:r>
      <w:r w:rsidRPr="005529C7">
        <w:rPr>
          <w:rFonts w:ascii="Times New Roman" w:eastAsia="Times New Roman" w:hAnsi="Times New Roman" w:cs="Times New Roman"/>
          <w:b/>
          <w:bCs/>
        </w:rPr>
        <w:t>unique people with completed antibody tests that return positive</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Positive antibody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positiveTestsAntibody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completed antibody tests that return positive</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antibody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totalTestsPeopleAntibody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The total number of </w:t>
      </w:r>
      <w:r w:rsidRPr="005529C7">
        <w:rPr>
          <w:rFonts w:ascii="Times New Roman" w:eastAsia="Times New Roman" w:hAnsi="Times New Roman" w:cs="Times New Roman"/>
          <w:b/>
          <w:bCs/>
        </w:rPr>
        <w:t>unique people who have been tested at least once via antibody testing</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antibody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totalTestsAntibody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completed antibody tests</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lastRenderedPageBreak/>
        <w:t>Antigen tests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Positive antigen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positiveTestsPeopleAntigen</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unique people with a completed antigen test that returned positive</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Positive antigen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positiveTestsAntigen</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completed antigen tests that return positive</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antigen tests (people)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totalTestsPeopleAntigen</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unique people who have been tested at least once via antigen testing</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antigen tests (specimens)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totalTestsAntigen</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completed antigen tests</w:t>
      </w:r>
      <w:r w:rsidRPr="005529C7">
        <w:rPr>
          <w:rFonts w:ascii="Times New Roman" w:eastAsia="Times New Roman" w:hAnsi="Times New Roman" w:cs="Times New Roman"/>
        </w:rPr>
        <w:t>, as reported by the state or territory.</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t>Hospitalization</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Cumulative hospitalized/Ever hospitalized</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hospitalizedCumulative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individuals who have </w:t>
      </w:r>
      <w:r w:rsidRPr="005529C7">
        <w:rPr>
          <w:rFonts w:ascii="Times New Roman" w:eastAsia="Times New Roman" w:hAnsi="Times New Roman" w:cs="Times New Roman"/>
          <w:b/>
          <w:bCs/>
        </w:rPr>
        <w:t>ever been hospitalized with COVID-19</w:t>
      </w:r>
      <w:r w:rsidRPr="005529C7">
        <w:rPr>
          <w:rFonts w:ascii="Times New Roman" w:eastAsia="Times New Roman" w:hAnsi="Times New Roman" w:cs="Times New Roman"/>
        </w:rPr>
        <w:t>. Definitions vary by state / territory. Where possible, we report hospitalizations with confirmed or probable COVID-19 cases per the expanded </w:t>
      </w:r>
      <w:hyperlink r:id="rId10"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11"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Cumulative in ICU/Ever in ICU</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inIcuCumulative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individuals who have </w:t>
      </w:r>
      <w:r w:rsidRPr="005529C7">
        <w:rPr>
          <w:rFonts w:ascii="Times New Roman" w:eastAsia="Times New Roman" w:hAnsi="Times New Roman" w:cs="Times New Roman"/>
          <w:b/>
          <w:bCs/>
        </w:rPr>
        <w:t>ever been hospitalized in the Intensive Care Unit with COVID-19</w:t>
      </w:r>
      <w:r w:rsidRPr="005529C7">
        <w:rPr>
          <w:rFonts w:ascii="Times New Roman" w:eastAsia="Times New Roman" w:hAnsi="Times New Roman" w:cs="Times New Roman"/>
        </w:rPr>
        <w:t>. Definitions vary by state / territory. Where possible, we report patients in the ICU with confirmed or probable COVID-19 cases per the expanded </w:t>
      </w:r>
      <w:hyperlink r:id="rId12"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13"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Cumulative on ventilator/Ever on ventilator</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onVentilatorCumulative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lastRenderedPageBreak/>
        <w:t>Total number of individuals who have </w:t>
      </w:r>
      <w:r w:rsidRPr="005529C7">
        <w:rPr>
          <w:rFonts w:ascii="Times New Roman" w:eastAsia="Times New Roman" w:hAnsi="Times New Roman" w:cs="Times New Roman"/>
          <w:b/>
          <w:bCs/>
        </w:rPr>
        <w:t>ever been hospitalized under advanced ventilation with COVID-19</w:t>
      </w:r>
      <w:r w:rsidRPr="005529C7">
        <w:rPr>
          <w:rFonts w:ascii="Times New Roman" w:eastAsia="Times New Roman" w:hAnsi="Times New Roman" w:cs="Times New Roman"/>
        </w:rPr>
        <w:t>. Definitions vary by state / territory. Where possible, we report patients on ventilation with confirmed or probable COVID-19 cases per the expanded </w:t>
      </w:r>
      <w:hyperlink r:id="rId14"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15"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Currently hospitalized/Now hospitalized</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hospitalizedCurrently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Individuals who are </w:t>
      </w:r>
      <w:r w:rsidRPr="005529C7">
        <w:rPr>
          <w:rFonts w:ascii="Times New Roman" w:eastAsia="Times New Roman" w:hAnsi="Times New Roman" w:cs="Times New Roman"/>
          <w:b/>
          <w:bCs/>
        </w:rPr>
        <w:t>currently hospitalized with COVID-19</w:t>
      </w:r>
      <w:r w:rsidRPr="005529C7">
        <w:rPr>
          <w:rFonts w:ascii="Times New Roman" w:eastAsia="Times New Roman" w:hAnsi="Times New Roman" w:cs="Times New Roman"/>
        </w:rPr>
        <w:t>. Definitions vary by state / territory. Where possible, we report hospitalizations with confirmed or probable COVID-19 cases per the expanded </w:t>
      </w:r>
      <w:hyperlink r:id="rId16"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17"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Currently in ICU/Now in ICU</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inIcuCurrently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Individuals who are </w:t>
      </w:r>
      <w:r w:rsidRPr="005529C7">
        <w:rPr>
          <w:rFonts w:ascii="Times New Roman" w:eastAsia="Times New Roman" w:hAnsi="Times New Roman" w:cs="Times New Roman"/>
          <w:b/>
          <w:bCs/>
        </w:rPr>
        <w:t>currently hospitalized in the Intensive Care Unit with COVID-19</w:t>
      </w:r>
      <w:r w:rsidRPr="005529C7">
        <w:rPr>
          <w:rFonts w:ascii="Times New Roman" w:eastAsia="Times New Roman" w:hAnsi="Times New Roman" w:cs="Times New Roman"/>
        </w:rPr>
        <w:t>. Definitions vary by state / territory. Where possible, we report patients in the ICU with confirmed or probable COVID-19 cases per the expanded </w:t>
      </w:r>
      <w:hyperlink r:id="rId18"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19"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Currently on ventilator/Now on ventilator</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onVentilatorCurrently</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Individuals who are </w:t>
      </w:r>
      <w:r w:rsidRPr="005529C7">
        <w:rPr>
          <w:rFonts w:ascii="Times New Roman" w:eastAsia="Times New Roman" w:hAnsi="Times New Roman" w:cs="Times New Roman"/>
          <w:b/>
          <w:bCs/>
        </w:rPr>
        <w:t>currently hospitalized under advanced ventilation with COVID-19</w:t>
      </w:r>
      <w:r w:rsidRPr="005529C7">
        <w:rPr>
          <w:rFonts w:ascii="Times New Roman" w:eastAsia="Times New Roman" w:hAnsi="Times New Roman" w:cs="Times New Roman"/>
        </w:rPr>
        <w:t>. Definitions vary by state / territory. Where possible, we report patients on ventilation with confirmed or probable COVID-19 cases per the expanded </w:t>
      </w:r>
      <w:hyperlink r:id="rId20"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21"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New total hospitalizations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hospitalizedIncrease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Daily increase in </w:t>
      </w:r>
      <w:proofErr w:type="spellStart"/>
      <w:r w:rsidRPr="005529C7">
        <w:rPr>
          <w:rFonts w:ascii="Times New Roman" w:eastAsia="Times New Roman" w:hAnsi="Times New Roman" w:cs="Times New Roman"/>
          <w:i/>
          <w:iCs/>
        </w:rPr>
        <w:t>hospitalizedCumulative</w:t>
      </w:r>
      <w:proofErr w:type="spellEnd"/>
      <w:r w:rsidRPr="005529C7">
        <w:rPr>
          <w:rFonts w:ascii="Times New Roman" w:eastAsia="Times New Roman" w:hAnsi="Times New Roman" w:cs="Times New Roman"/>
        </w:rPr>
        <w:t>, calculated from the previous day’s value.</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t>Outcomes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Deaths (confirmed and probable)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death</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w:t>
      </w:r>
      <w:r w:rsidRPr="005529C7">
        <w:rPr>
          <w:rFonts w:ascii="Times New Roman" w:eastAsia="Times New Roman" w:hAnsi="Times New Roman" w:cs="Times New Roman"/>
          <w:b/>
          <w:bCs/>
        </w:rPr>
        <w:t>fatalities with confirmed OR probable COVID-19 case diagnosis</w:t>
      </w:r>
      <w:r w:rsidRPr="005529C7">
        <w:rPr>
          <w:rFonts w:ascii="Times New Roman" w:eastAsia="Times New Roman" w:hAnsi="Times New Roman" w:cs="Times New Roman"/>
        </w:rPr>
        <w:t> (per the expanded </w:t>
      </w:r>
      <w:hyperlink r:id="rId22"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23"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 In some states, these individuals must also have COVID-19 listed on the death certificate to count as a COVID-19 death. When states post multiple numbers for fatalities, the metric includes only deaths with COVID-19 listed on the death certificate, unless deaths among cases is a more reliable metric in the state.</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Deaths (confirmed)</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deathConfirmed</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lastRenderedPageBreak/>
        <w:t>Total </w:t>
      </w:r>
      <w:r w:rsidRPr="005529C7">
        <w:rPr>
          <w:rFonts w:ascii="Times New Roman" w:eastAsia="Times New Roman" w:hAnsi="Times New Roman" w:cs="Times New Roman"/>
          <w:b/>
          <w:bCs/>
        </w:rPr>
        <w:t>fatalities with confirmed COVID-19 case diagnosis</w:t>
      </w:r>
      <w:r w:rsidRPr="005529C7">
        <w:rPr>
          <w:rFonts w:ascii="Times New Roman" w:eastAsia="Times New Roman" w:hAnsi="Times New Roman" w:cs="Times New Roman"/>
        </w:rPr>
        <w:t> (per the expanded </w:t>
      </w:r>
      <w:hyperlink r:id="rId24"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25"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 In some states, these individuals must also have COVID-19 listed on the death certificate to count as a COVID-19 death. When states post multiple numbers for confirmed fatalities, the metric includes only lab-confirmed deaths with COVID-19 listed on the death certificate, unless deaths among confirmed cases is a more reliable metric in the state.</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Deaths (probable)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deathProbable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w:t>
      </w:r>
      <w:r w:rsidRPr="005529C7">
        <w:rPr>
          <w:rFonts w:ascii="Times New Roman" w:eastAsia="Times New Roman" w:hAnsi="Times New Roman" w:cs="Times New Roman"/>
          <w:b/>
          <w:bCs/>
        </w:rPr>
        <w:t>fatalities with probable COVID-19 case diagnosis</w:t>
      </w:r>
      <w:r w:rsidRPr="005529C7">
        <w:rPr>
          <w:rFonts w:ascii="Times New Roman" w:eastAsia="Times New Roman" w:hAnsi="Times New Roman" w:cs="Times New Roman"/>
        </w:rPr>
        <w:t> (per the expanded </w:t>
      </w:r>
      <w:hyperlink r:id="rId26" w:history="1">
        <w:r w:rsidRPr="005529C7">
          <w:rPr>
            <w:rFonts w:ascii="Times New Roman" w:eastAsia="Times New Roman" w:hAnsi="Times New Roman" w:cs="Times New Roman"/>
            <w:color w:val="0000FF"/>
            <w:u w:val="single"/>
          </w:rPr>
          <w:t>CSTE case definition</w:t>
        </w:r>
      </w:hyperlink>
      <w:r w:rsidRPr="005529C7">
        <w:rPr>
          <w:rFonts w:ascii="Times New Roman" w:eastAsia="Times New Roman" w:hAnsi="Times New Roman" w:cs="Times New Roman"/>
        </w:rPr>
        <w:t> of April 5th, 2020 </w:t>
      </w:r>
      <w:hyperlink r:id="rId27" w:history="1">
        <w:r w:rsidRPr="005529C7">
          <w:rPr>
            <w:rFonts w:ascii="Times New Roman" w:eastAsia="Times New Roman" w:hAnsi="Times New Roman" w:cs="Times New Roman"/>
            <w:color w:val="0000FF"/>
            <w:u w:val="single"/>
          </w:rPr>
          <w:t>approved by the CDC</w:t>
        </w:r>
      </w:hyperlink>
      <w:r w:rsidRPr="005529C7">
        <w:rPr>
          <w:rFonts w:ascii="Times New Roman" w:eastAsia="Times New Roman" w:hAnsi="Times New Roman" w:cs="Times New Roman"/>
        </w:rPr>
        <w:t>). In some states, these individuals must also have COVID-19 listed on the death certificate to count as a COVID-19 death. When states post multiple numbers for probable fatalities, the metric includes only probable fatalities with COVID-19 listed on the death certificate, unless deaths among probable cases is a more reliable metric in the state.</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New deaths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deathIncrease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Daily increase in death, calculated from the previous day’s value.</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Recovered</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recovered</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Total number of </w:t>
      </w:r>
      <w:r w:rsidRPr="005529C7">
        <w:rPr>
          <w:rFonts w:ascii="Times New Roman" w:eastAsia="Times New Roman" w:hAnsi="Times New Roman" w:cs="Times New Roman"/>
          <w:b/>
          <w:bCs/>
        </w:rPr>
        <w:t>people that are identified as recovered from COVID-19</w:t>
      </w:r>
      <w:r w:rsidRPr="005529C7">
        <w:rPr>
          <w:rFonts w:ascii="Times New Roman" w:eastAsia="Times New Roman" w:hAnsi="Times New Roman" w:cs="Times New Roman"/>
        </w:rPr>
        <w:t>. States provide very disparate definitions on what constitutes a “recovered” COVID-19 case. Types of “recovered” cases include those who are discharged from hospitals, released from isolation after meeting CDC guidance on </w:t>
      </w:r>
      <w:hyperlink r:id="rId28" w:history="1">
        <w:r w:rsidRPr="005529C7">
          <w:rPr>
            <w:rFonts w:ascii="Times New Roman" w:eastAsia="Times New Roman" w:hAnsi="Times New Roman" w:cs="Times New Roman"/>
            <w:color w:val="0000FF"/>
            <w:u w:val="single"/>
          </w:rPr>
          <w:t>symptoms cessation</w:t>
        </w:r>
      </w:hyperlink>
      <w:r w:rsidRPr="005529C7">
        <w:rPr>
          <w:rFonts w:ascii="Times New Roman" w:eastAsia="Times New Roman" w:hAnsi="Times New Roman" w:cs="Times New Roman"/>
        </w:rPr>
        <w:t>, or those who have not been identified as fatalities after a number of days (30 or more) post disease onset. Specifics vary for each state or territory.</w:t>
      </w:r>
    </w:p>
    <w:p w:rsidR="005529C7" w:rsidRPr="005529C7" w:rsidRDefault="005529C7" w:rsidP="005529C7">
      <w:pPr>
        <w:spacing w:before="100" w:beforeAutospacing="1" w:after="100" w:afterAutospacing="1"/>
        <w:outlineLvl w:val="1"/>
        <w:rPr>
          <w:rFonts w:ascii="Times New Roman" w:eastAsia="Times New Roman" w:hAnsi="Times New Roman" w:cs="Times New Roman"/>
          <w:b/>
          <w:bCs/>
          <w:sz w:val="36"/>
          <w:szCs w:val="36"/>
        </w:rPr>
      </w:pPr>
      <w:r w:rsidRPr="005529C7">
        <w:rPr>
          <w:rFonts w:ascii="Times New Roman" w:eastAsia="Times New Roman" w:hAnsi="Times New Roman" w:cs="Times New Roman"/>
          <w:b/>
          <w:bCs/>
          <w:sz w:val="36"/>
          <w:szCs w:val="36"/>
        </w:rPr>
        <w:t>State metadata</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COVID Tracking Project preferred total test field</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covidTrackingProjectPreferredTotalTestField</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Locator field that explains which API fields The COVID Tracking Project prefers for each state’s “New tests” chart and on the state’s history page on our website. Selects from the following options in order of priority: </w:t>
      </w:r>
      <w:r w:rsidRPr="005529C7">
        <w:rPr>
          <w:rFonts w:ascii="Times New Roman" w:eastAsia="Times New Roman" w:hAnsi="Times New Roman" w:cs="Times New Roman"/>
          <w:i/>
          <w:iCs/>
        </w:rPr>
        <w:t>totalTestEncountersViral</w:t>
      </w:r>
      <w:r w:rsidRPr="005529C7">
        <w:rPr>
          <w:rFonts w:ascii="Times New Roman" w:eastAsia="Times New Roman" w:hAnsi="Times New Roman" w:cs="Times New Roman"/>
        </w:rPr>
        <w:t>, </w:t>
      </w:r>
      <w:r w:rsidRPr="005529C7">
        <w:rPr>
          <w:rFonts w:ascii="Times New Roman" w:eastAsia="Times New Roman" w:hAnsi="Times New Roman" w:cs="Times New Roman"/>
          <w:i/>
          <w:iCs/>
        </w:rPr>
        <w:t>totalTestsViral</w:t>
      </w:r>
      <w:r w:rsidRPr="005529C7">
        <w:rPr>
          <w:rFonts w:ascii="Times New Roman" w:eastAsia="Times New Roman" w:hAnsi="Times New Roman" w:cs="Times New Roman"/>
        </w:rPr>
        <w:t>, </w:t>
      </w:r>
      <w:r w:rsidRPr="005529C7">
        <w:rPr>
          <w:rFonts w:ascii="Times New Roman" w:eastAsia="Times New Roman" w:hAnsi="Times New Roman" w:cs="Times New Roman"/>
          <w:i/>
          <w:iCs/>
        </w:rPr>
        <w:t>totalTestsPeopleViral</w:t>
      </w:r>
      <w:r w:rsidRPr="005529C7">
        <w:rPr>
          <w:rFonts w:ascii="Times New Roman" w:eastAsia="Times New Roman" w:hAnsi="Times New Roman" w:cs="Times New Roman"/>
        </w:rPr>
        <w:t>, or—where those units are all missing a sufficient time series—</w:t>
      </w:r>
      <w:proofErr w:type="spellStart"/>
      <w:r w:rsidRPr="005529C7">
        <w:rPr>
          <w:rFonts w:ascii="Times New Roman" w:eastAsia="Times New Roman" w:hAnsi="Times New Roman" w:cs="Times New Roman"/>
          <w:i/>
          <w:iCs/>
        </w:rPr>
        <w:t>totalTestResults</w:t>
      </w:r>
      <w:proofErr w:type="spellEnd"/>
      <w:r w:rsidRPr="005529C7">
        <w:rPr>
          <w:rFonts w:ascii="Times New Roman" w:eastAsia="Times New Roman" w:hAnsi="Times New Roman" w:cs="Times New Roman"/>
        </w:rPr>
        <w: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COVID Tracking Project preferred total test units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covidTrackingProjectPreferredTotalTestUnits</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 xml:space="preserve">Label indicating which units The COVID Tracking Project prefers for each state’s “New tests” chart and on the state’s history page on our website. Selects from the following options </w:t>
      </w:r>
      <w:r w:rsidRPr="005529C7">
        <w:rPr>
          <w:rFonts w:ascii="Times New Roman" w:eastAsia="Times New Roman" w:hAnsi="Times New Roman" w:cs="Times New Roman"/>
        </w:rPr>
        <w:lastRenderedPageBreak/>
        <w:t xml:space="preserve">in order of priority: test encounters, specimens, people, or—where those units are all missing a </w:t>
      </w:r>
      <w:proofErr w:type="spellStart"/>
      <w:r w:rsidRPr="005529C7">
        <w:rPr>
          <w:rFonts w:ascii="Times New Roman" w:eastAsia="Times New Roman" w:hAnsi="Times New Roman" w:cs="Times New Roman"/>
        </w:rPr>
        <w:t>sufficent</w:t>
      </w:r>
      <w:proofErr w:type="spellEnd"/>
      <w:r w:rsidRPr="005529C7">
        <w:rPr>
          <w:rFonts w:ascii="Times New Roman" w:eastAsia="Times New Roman" w:hAnsi="Times New Roman" w:cs="Times New Roman"/>
        </w:rPr>
        <w:t xml:space="preserve"> time series—negatives plus positives.</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Data Quality Grade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dataQualityGrade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The COVID Tracking Project grade of the completeness of the data reporting by a state. See our </w:t>
      </w:r>
      <w:hyperlink r:id="rId29" w:history="1">
        <w:r w:rsidRPr="005529C7">
          <w:rPr>
            <w:rFonts w:ascii="Times New Roman" w:eastAsia="Times New Roman" w:hAnsi="Times New Roman" w:cs="Times New Roman"/>
            <w:color w:val="0000FF"/>
            <w:u w:val="single"/>
          </w:rPr>
          <w:t>State Grades page</w:t>
        </w:r>
      </w:hyperlink>
      <w:r w:rsidRPr="005529C7">
        <w:rPr>
          <w:rFonts w:ascii="Times New Roman" w:eastAsia="Times New Roman" w:hAnsi="Times New Roman" w:cs="Times New Roman"/>
        </w:rPr>
        <w:t> and our </w:t>
      </w:r>
      <w:hyperlink r:id="rId30" w:history="1">
        <w:r w:rsidRPr="005529C7">
          <w:rPr>
            <w:rFonts w:ascii="Times New Roman" w:eastAsia="Times New Roman" w:hAnsi="Times New Roman" w:cs="Times New Roman"/>
            <w:color w:val="0000FF"/>
            <w:u w:val="single"/>
          </w:rPr>
          <w:t>spreadsheet of grade factors</w:t>
        </w:r>
      </w:hyperlink>
      <w:r w:rsidRPr="005529C7">
        <w:rPr>
          <w:rFonts w:ascii="Times New Roman" w:eastAsia="Times New Roman" w:hAnsi="Times New Roman" w:cs="Times New Roman"/>
        </w:rPr>
        <w:t> for more information.</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Date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date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Date on which data was collected by The COVID Tracking Project.</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Last Update (ET)</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lastUpdateEt</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Date and time in Eastern time the state or territory last updated the data.</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New tests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totalTestResultsIncrease</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Daily increase in </w:t>
      </w:r>
      <w:proofErr w:type="spellStart"/>
      <w:r w:rsidRPr="005529C7">
        <w:rPr>
          <w:rFonts w:ascii="Times New Roman" w:eastAsia="Times New Roman" w:hAnsi="Times New Roman" w:cs="Times New Roman"/>
          <w:i/>
          <w:iCs/>
        </w:rPr>
        <w:t>totalTestResults</w:t>
      </w:r>
      <w:proofErr w:type="spellEnd"/>
      <w:r w:rsidRPr="005529C7">
        <w:rPr>
          <w:rFonts w:ascii="Times New Roman" w:eastAsia="Times New Roman" w:hAnsi="Times New Roman" w:cs="Times New Roman"/>
        </w:rPr>
        <w:t>, calculated from the previous day’s value. This calculation includes all the caveats associated with Total tests/</w:t>
      </w:r>
      <w:proofErr w:type="spellStart"/>
      <w:r w:rsidRPr="005529C7">
        <w:rPr>
          <w:rFonts w:ascii="Times New Roman" w:eastAsia="Times New Roman" w:hAnsi="Times New Roman" w:cs="Times New Roman"/>
          <w:i/>
          <w:iCs/>
        </w:rPr>
        <w:t>totalTestResults</w:t>
      </w:r>
      <w:proofErr w:type="spellEnd"/>
      <w:r w:rsidRPr="005529C7">
        <w:rPr>
          <w:rFonts w:ascii="Times New Roman" w:eastAsia="Times New Roman" w:hAnsi="Times New Roman" w:cs="Times New Roman"/>
        </w:rPr>
        <w:t>, and we recommend against using it at the state/territory level.</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State (or territory)</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state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Two-letter abbreviation for the state or territory.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States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r w:rsidRPr="005529C7">
        <w:rPr>
          <w:rFonts w:ascii="Times New Roman" w:eastAsia="Times New Roman" w:hAnsi="Times New Roman" w:cs="Times New Roman"/>
          <w:i/>
          <w:iCs/>
        </w:rPr>
        <w:t>states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Only available in national records. The number of states and territories included in the US dataset for this day.</w:t>
      </w:r>
    </w:p>
    <w:p w:rsidR="005529C7" w:rsidRPr="005529C7" w:rsidRDefault="005529C7" w:rsidP="005529C7">
      <w:pPr>
        <w:spacing w:before="100" w:beforeAutospacing="1" w:after="100" w:afterAutospacing="1"/>
        <w:outlineLvl w:val="2"/>
        <w:rPr>
          <w:rFonts w:ascii="Times New Roman" w:eastAsia="Times New Roman" w:hAnsi="Times New Roman" w:cs="Times New Roman"/>
          <w:b/>
          <w:bCs/>
          <w:sz w:val="27"/>
          <w:szCs w:val="27"/>
        </w:rPr>
      </w:pPr>
      <w:r w:rsidRPr="005529C7">
        <w:rPr>
          <w:rFonts w:ascii="Times New Roman" w:eastAsia="Times New Roman" w:hAnsi="Times New Roman" w:cs="Times New Roman"/>
          <w:b/>
          <w:bCs/>
          <w:sz w:val="27"/>
          <w:szCs w:val="27"/>
        </w:rPr>
        <w:t>Total test results</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API field name: </w:t>
      </w:r>
      <w:proofErr w:type="spellStart"/>
      <w:r w:rsidRPr="005529C7">
        <w:rPr>
          <w:rFonts w:ascii="Times New Roman" w:eastAsia="Times New Roman" w:hAnsi="Times New Roman" w:cs="Times New Roman"/>
          <w:i/>
          <w:iCs/>
        </w:rPr>
        <w:t>totalTestResults</w:t>
      </w:r>
      <w:proofErr w:type="spellEnd"/>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At the national level, this metric is a summary statistic which—because it sums figures from states reporting tests in </w:t>
      </w:r>
      <w:r w:rsidRPr="005529C7">
        <w:rPr>
          <w:rFonts w:ascii="Times New Roman" w:eastAsia="Times New Roman" w:hAnsi="Times New Roman" w:cs="Times New Roman"/>
          <w:b/>
          <w:bCs/>
        </w:rPr>
        <w:t>test encounters</w:t>
      </w:r>
      <w:r w:rsidRPr="005529C7">
        <w:rPr>
          <w:rFonts w:ascii="Times New Roman" w:eastAsia="Times New Roman" w:hAnsi="Times New Roman" w:cs="Times New Roman"/>
        </w:rPr>
        <w:t> with those reporting tests in </w:t>
      </w:r>
      <w:r w:rsidRPr="005529C7">
        <w:rPr>
          <w:rFonts w:ascii="Times New Roman" w:eastAsia="Times New Roman" w:hAnsi="Times New Roman" w:cs="Times New Roman"/>
          <w:b/>
          <w:bCs/>
        </w:rPr>
        <w:t>specimens</w:t>
      </w:r>
      <w:r w:rsidRPr="005529C7">
        <w:rPr>
          <w:rFonts w:ascii="Times New Roman" w:eastAsia="Times New Roman" w:hAnsi="Times New Roman" w:cs="Times New Roman"/>
        </w:rPr>
        <w:t> and in </w:t>
      </w:r>
      <w:r w:rsidRPr="005529C7">
        <w:rPr>
          <w:rFonts w:ascii="Times New Roman" w:eastAsia="Times New Roman" w:hAnsi="Times New Roman" w:cs="Times New Roman"/>
          <w:b/>
          <w:bCs/>
        </w:rPr>
        <w:t>people</w:t>
      </w:r>
      <w:r w:rsidRPr="005529C7">
        <w:rPr>
          <w:rFonts w:ascii="Times New Roman" w:eastAsia="Times New Roman" w:hAnsi="Times New Roman" w:cs="Times New Roman"/>
        </w:rPr>
        <w:t>—is an aggregate calculation of heterogeneous figures. Therefore, it should be contextualized as, at best, an estimate of national testing performance.</w:t>
      </w:r>
    </w:p>
    <w:p w:rsidR="005529C7" w:rsidRPr="005529C7" w:rsidRDefault="005529C7" w:rsidP="005529C7">
      <w:pPr>
        <w:spacing w:after="100" w:afterAutospacing="1"/>
        <w:rPr>
          <w:rFonts w:ascii="Times New Roman" w:eastAsia="Times New Roman" w:hAnsi="Times New Roman" w:cs="Times New Roman"/>
        </w:rPr>
      </w:pPr>
      <w:r w:rsidRPr="005529C7">
        <w:rPr>
          <w:rFonts w:ascii="Times New Roman" w:eastAsia="Times New Roman" w:hAnsi="Times New Roman" w:cs="Times New Roman"/>
        </w:rPr>
        <w:t xml:space="preserve">In most states, the </w:t>
      </w:r>
      <w:proofErr w:type="spellStart"/>
      <w:r w:rsidRPr="005529C7">
        <w:rPr>
          <w:rFonts w:ascii="Times New Roman" w:eastAsia="Times New Roman" w:hAnsi="Times New Roman" w:cs="Times New Roman"/>
        </w:rPr>
        <w:t>totalTestResults</w:t>
      </w:r>
      <w:proofErr w:type="spellEnd"/>
      <w:r w:rsidRPr="005529C7">
        <w:rPr>
          <w:rFonts w:ascii="Times New Roman" w:eastAsia="Times New Roman" w:hAnsi="Times New Roman" w:cs="Times New Roman"/>
        </w:rPr>
        <w:t xml:space="preserve"> field is currently computed by adding positive and negative values because, historically, some states do not report totals, and to work around different reporting cadences for cases and tests. In Colorado, Delaware, the District of </w:t>
      </w:r>
      <w:r w:rsidRPr="005529C7">
        <w:rPr>
          <w:rFonts w:ascii="Times New Roman" w:eastAsia="Times New Roman" w:hAnsi="Times New Roman" w:cs="Times New Roman"/>
        </w:rPr>
        <w:lastRenderedPageBreak/>
        <w:t>Columbia, Florida, Hawaii, Minnesota, Nevada, New York, North Dakota, Rhode Island, Virginia, Washington, and Wisconsin, where reliable testing encounters figures are available with a complete time series, we directly report those figures in this field. In Alaska, Arkansas, Georgia, Indiana, Kentucky, Maryland, Massachusetts, Missouri, Nebraska, New Hampshire, Utah, Vermont, and Wyoming, where reliable specimens figures are available with a complete time series, we directly report those figures in this field. In Alabama, Arizona, Idaho, and South Dakota, where reliable unique people figures are available with a complete time series, we directly report those figures in this field. We are in the process of switching all states over to use directly reported total figures, using a policy of preferring testing encounters, specimens, and people, in that order.</w:t>
      </w:r>
    </w:p>
    <w:p w:rsidR="005529C7" w:rsidRPr="005529C7" w:rsidRDefault="005529C7" w:rsidP="005529C7">
      <w:pPr>
        <w:rPr>
          <w:rFonts w:ascii="Times New Roman" w:eastAsia="Times New Roman" w:hAnsi="Times New Roman" w:cs="Times New Roman"/>
        </w:rPr>
      </w:pPr>
    </w:p>
    <w:p w:rsidR="000F7AF7" w:rsidRDefault="003E3FAA"/>
    <w:sectPr w:rsidR="000F7AF7" w:rsidSect="003E3FAA">
      <w:pgSz w:w="11900" w:h="16840"/>
      <w:pgMar w:top="432" w:right="1440" w:bottom="85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C7"/>
    <w:rsid w:val="003A0EC4"/>
    <w:rsid w:val="003E3FAA"/>
    <w:rsid w:val="005529C7"/>
    <w:rsid w:val="00825970"/>
    <w:rsid w:val="00854489"/>
    <w:rsid w:val="00B04878"/>
    <w:rsid w:val="00F13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BAFB15"/>
  <w15:chartTrackingRefBased/>
  <w15:docId w15:val="{F98D63C4-437B-284A-BE61-E61406B5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29C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9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9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9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29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529C7"/>
    <w:rPr>
      <w:i/>
      <w:iCs/>
    </w:rPr>
  </w:style>
  <w:style w:type="character" w:styleId="Strong">
    <w:name w:val="Strong"/>
    <w:basedOn w:val="DefaultParagraphFont"/>
    <w:uiPriority w:val="22"/>
    <w:qFormat/>
    <w:rsid w:val="005529C7"/>
    <w:rPr>
      <w:b/>
      <w:bCs/>
    </w:rPr>
  </w:style>
  <w:style w:type="character" w:styleId="Hyperlink">
    <w:name w:val="Hyperlink"/>
    <w:basedOn w:val="DefaultParagraphFont"/>
    <w:uiPriority w:val="99"/>
    <w:semiHidden/>
    <w:unhideWhenUsed/>
    <w:rsid w:val="00552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031521">
      <w:bodyDiv w:val="1"/>
      <w:marLeft w:val="0"/>
      <w:marRight w:val="0"/>
      <w:marTop w:val="0"/>
      <w:marBottom w:val="0"/>
      <w:divBdr>
        <w:top w:val="none" w:sz="0" w:space="0" w:color="auto"/>
        <w:left w:val="none" w:sz="0" w:space="0" w:color="auto"/>
        <w:bottom w:val="none" w:sz="0" w:space="0" w:color="auto"/>
        <w:right w:val="none" w:sz="0" w:space="0" w:color="auto"/>
      </w:divBdr>
      <w:divsChild>
        <w:div w:id="1079716169">
          <w:marLeft w:val="0"/>
          <w:marRight w:val="0"/>
          <w:marTop w:val="0"/>
          <w:marBottom w:val="0"/>
          <w:divBdr>
            <w:top w:val="none" w:sz="0" w:space="0" w:color="auto"/>
            <w:left w:val="none" w:sz="0" w:space="0" w:color="auto"/>
            <w:bottom w:val="none" w:sz="0" w:space="0" w:color="auto"/>
            <w:right w:val="none" w:sz="0" w:space="0" w:color="auto"/>
          </w:divBdr>
          <w:divsChild>
            <w:div w:id="1835103946">
              <w:marLeft w:val="0"/>
              <w:marRight w:val="0"/>
              <w:marTop w:val="0"/>
              <w:marBottom w:val="0"/>
              <w:divBdr>
                <w:top w:val="none" w:sz="0" w:space="0" w:color="auto"/>
                <w:left w:val="none" w:sz="0" w:space="0" w:color="auto"/>
                <w:bottom w:val="none" w:sz="0" w:space="0" w:color="auto"/>
                <w:right w:val="none" w:sz="0" w:space="0" w:color="auto"/>
              </w:divBdr>
              <w:divsChild>
                <w:div w:id="1691253648">
                  <w:marLeft w:val="0"/>
                  <w:marRight w:val="0"/>
                  <w:marTop w:val="0"/>
                  <w:marBottom w:val="0"/>
                  <w:divBdr>
                    <w:top w:val="none" w:sz="0" w:space="0" w:color="auto"/>
                    <w:left w:val="none" w:sz="0" w:space="0" w:color="auto"/>
                    <w:bottom w:val="none" w:sz="0" w:space="0" w:color="auto"/>
                    <w:right w:val="none" w:sz="0" w:space="0" w:color="auto"/>
                  </w:divBdr>
                  <w:divsChild>
                    <w:div w:id="402800086">
                      <w:marLeft w:val="0"/>
                      <w:marRight w:val="0"/>
                      <w:marTop w:val="0"/>
                      <w:marBottom w:val="0"/>
                      <w:divBdr>
                        <w:top w:val="none" w:sz="0" w:space="0" w:color="auto"/>
                        <w:left w:val="none" w:sz="0" w:space="0" w:color="auto"/>
                        <w:bottom w:val="none" w:sz="0" w:space="0" w:color="auto"/>
                        <w:right w:val="none" w:sz="0" w:space="0" w:color="auto"/>
                      </w:divBdr>
                    </w:div>
                    <w:div w:id="1634478844">
                      <w:marLeft w:val="0"/>
                      <w:marRight w:val="0"/>
                      <w:marTop w:val="0"/>
                      <w:marBottom w:val="0"/>
                      <w:divBdr>
                        <w:top w:val="none" w:sz="0" w:space="0" w:color="auto"/>
                        <w:left w:val="none" w:sz="0" w:space="0" w:color="auto"/>
                        <w:bottom w:val="none" w:sz="0" w:space="0" w:color="auto"/>
                        <w:right w:val="none" w:sz="0" w:space="0" w:color="auto"/>
                      </w:divBdr>
                    </w:div>
                    <w:div w:id="687634782">
                      <w:marLeft w:val="0"/>
                      <w:marRight w:val="0"/>
                      <w:marTop w:val="0"/>
                      <w:marBottom w:val="0"/>
                      <w:divBdr>
                        <w:top w:val="none" w:sz="0" w:space="0" w:color="auto"/>
                        <w:left w:val="none" w:sz="0" w:space="0" w:color="auto"/>
                        <w:bottom w:val="none" w:sz="0" w:space="0" w:color="auto"/>
                        <w:right w:val="none" w:sz="0" w:space="0" w:color="auto"/>
                      </w:divBdr>
                    </w:div>
                    <w:div w:id="838077914">
                      <w:marLeft w:val="0"/>
                      <w:marRight w:val="0"/>
                      <w:marTop w:val="0"/>
                      <w:marBottom w:val="0"/>
                      <w:divBdr>
                        <w:top w:val="none" w:sz="0" w:space="0" w:color="auto"/>
                        <w:left w:val="none" w:sz="0" w:space="0" w:color="auto"/>
                        <w:bottom w:val="none" w:sz="0" w:space="0" w:color="auto"/>
                        <w:right w:val="none" w:sz="0" w:space="0" w:color="auto"/>
                      </w:divBdr>
                    </w:div>
                    <w:div w:id="1582174996">
                      <w:marLeft w:val="0"/>
                      <w:marRight w:val="0"/>
                      <w:marTop w:val="0"/>
                      <w:marBottom w:val="0"/>
                      <w:divBdr>
                        <w:top w:val="none" w:sz="0" w:space="0" w:color="auto"/>
                        <w:left w:val="none" w:sz="0" w:space="0" w:color="auto"/>
                        <w:bottom w:val="none" w:sz="0" w:space="0" w:color="auto"/>
                        <w:right w:val="none" w:sz="0" w:space="0" w:color="auto"/>
                      </w:divBdr>
                    </w:div>
                    <w:div w:id="1873877158">
                      <w:marLeft w:val="0"/>
                      <w:marRight w:val="0"/>
                      <w:marTop w:val="0"/>
                      <w:marBottom w:val="0"/>
                      <w:divBdr>
                        <w:top w:val="none" w:sz="0" w:space="0" w:color="auto"/>
                        <w:left w:val="none" w:sz="0" w:space="0" w:color="auto"/>
                        <w:bottom w:val="none" w:sz="0" w:space="0" w:color="auto"/>
                        <w:right w:val="none" w:sz="0" w:space="0" w:color="auto"/>
                      </w:divBdr>
                    </w:div>
                    <w:div w:id="569267129">
                      <w:marLeft w:val="0"/>
                      <w:marRight w:val="0"/>
                      <w:marTop w:val="0"/>
                      <w:marBottom w:val="0"/>
                      <w:divBdr>
                        <w:top w:val="none" w:sz="0" w:space="0" w:color="auto"/>
                        <w:left w:val="none" w:sz="0" w:space="0" w:color="auto"/>
                        <w:bottom w:val="none" w:sz="0" w:space="0" w:color="auto"/>
                        <w:right w:val="none" w:sz="0" w:space="0" w:color="auto"/>
                      </w:divBdr>
                    </w:div>
                    <w:div w:id="2070221558">
                      <w:marLeft w:val="0"/>
                      <w:marRight w:val="0"/>
                      <w:marTop w:val="0"/>
                      <w:marBottom w:val="0"/>
                      <w:divBdr>
                        <w:top w:val="none" w:sz="0" w:space="0" w:color="auto"/>
                        <w:left w:val="none" w:sz="0" w:space="0" w:color="auto"/>
                        <w:bottom w:val="none" w:sz="0" w:space="0" w:color="auto"/>
                        <w:right w:val="none" w:sz="0" w:space="0" w:color="auto"/>
                      </w:divBdr>
                    </w:div>
                    <w:div w:id="2016497733">
                      <w:marLeft w:val="0"/>
                      <w:marRight w:val="0"/>
                      <w:marTop w:val="0"/>
                      <w:marBottom w:val="0"/>
                      <w:divBdr>
                        <w:top w:val="none" w:sz="0" w:space="0" w:color="auto"/>
                        <w:left w:val="none" w:sz="0" w:space="0" w:color="auto"/>
                        <w:bottom w:val="none" w:sz="0" w:space="0" w:color="auto"/>
                        <w:right w:val="none" w:sz="0" w:space="0" w:color="auto"/>
                      </w:divBdr>
                    </w:div>
                    <w:div w:id="129130284">
                      <w:marLeft w:val="0"/>
                      <w:marRight w:val="0"/>
                      <w:marTop w:val="0"/>
                      <w:marBottom w:val="0"/>
                      <w:divBdr>
                        <w:top w:val="none" w:sz="0" w:space="0" w:color="auto"/>
                        <w:left w:val="none" w:sz="0" w:space="0" w:color="auto"/>
                        <w:bottom w:val="none" w:sz="0" w:space="0" w:color="auto"/>
                        <w:right w:val="none" w:sz="0" w:space="0" w:color="auto"/>
                      </w:divBdr>
                    </w:div>
                    <w:div w:id="797840765">
                      <w:marLeft w:val="0"/>
                      <w:marRight w:val="0"/>
                      <w:marTop w:val="0"/>
                      <w:marBottom w:val="0"/>
                      <w:divBdr>
                        <w:top w:val="none" w:sz="0" w:space="0" w:color="auto"/>
                        <w:left w:val="none" w:sz="0" w:space="0" w:color="auto"/>
                        <w:bottom w:val="none" w:sz="0" w:space="0" w:color="auto"/>
                        <w:right w:val="none" w:sz="0" w:space="0" w:color="auto"/>
                      </w:divBdr>
                    </w:div>
                    <w:div w:id="1911571575">
                      <w:marLeft w:val="0"/>
                      <w:marRight w:val="0"/>
                      <w:marTop w:val="0"/>
                      <w:marBottom w:val="0"/>
                      <w:divBdr>
                        <w:top w:val="none" w:sz="0" w:space="0" w:color="auto"/>
                        <w:left w:val="none" w:sz="0" w:space="0" w:color="auto"/>
                        <w:bottom w:val="none" w:sz="0" w:space="0" w:color="auto"/>
                        <w:right w:val="none" w:sz="0" w:space="0" w:color="auto"/>
                      </w:divBdr>
                    </w:div>
                    <w:div w:id="927496466">
                      <w:marLeft w:val="0"/>
                      <w:marRight w:val="0"/>
                      <w:marTop w:val="0"/>
                      <w:marBottom w:val="0"/>
                      <w:divBdr>
                        <w:top w:val="none" w:sz="0" w:space="0" w:color="auto"/>
                        <w:left w:val="none" w:sz="0" w:space="0" w:color="auto"/>
                        <w:bottom w:val="none" w:sz="0" w:space="0" w:color="auto"/>
                        <w:right w:val="none" w:sz="0" w:space="0" w:color="auto"/>
                      </w:divBdr>
                    </w:div>
                    <w:div w:id="1601720922">
                      <w:marLeft w:val="0"/>
                      <w:marRight w:val="0"/>
                      <w:marTop w:val="0"/>
                      <w:marBottom w:val="0"/>
                      <w:divBdr>
                        <w:top w:val="none" w:sz="0" w:space="0" w:color="auto"/>
                        <w:left w:val="none" w:sz="0" w:space="0" w:color="auto"/>
                        <w:bottom w:val="none" w:sz="0" w:space="0" w:color="auto"/>
                        <w:right w:val="none" w:sz="0" w:space="0" w:color="auto"/>
                      </w:divBdr>
                    </w:div>
                    <w:div w:id="1658220205">
                      <w:marLeft w:val="0"/>
                      <w:marRight w:val="0"/>
                      <w:marTop w:val="0"/>
                      <w:marBottom w:val="0"/>
                      <w:divBdr>
                        <w:top w:val="none" w:sz="0" w:space="0" w:color="auto"/>
                        <w:left w:val="none" w:sz="0" w:space="0" w:color="auto"/>
                        <w:bottom w:val="none" w:sz="0" w:space="0" w:color="auto"/>
                        <w:right w:val="none" w:sz="0" w:space="0" w:color="auto"/>
                      </w:divBdr>
                    </w:div>
                    <w:div w:id="377124912">
                      <w:marLeft w:val="0"/>
                      <w:marRight w:val="0"/>
                      <w:marTop w:val="0"/>
                      <w:marBottom w:val="0"/>
                      <w:divBdr>
                        <w:top w:val="none" w:sz="0" w:space="0" w:color="auto"/>
                        <w:left w:val="none" w:sz="0" w:space="0" w:color="auto"/>
                        <w:bottom w:val="none" w:sz="0" w:space="0" w:color="auto"/>
                        <w:right w:val="none" w:sz="0" w:space="0" w:color="auto"/>
                      </w:divBdr>
                    </w:div>
                    <w:div w:id="20671858">
                      <w:marLeft w:val="0"/>
                      <w:marRight w:val="0"/>
                      <w:marTop w:val="0"/>
                      <w:marBottom w:val="0"/>
                      <w:divBdr>
                        <w:top w:val="none" w:sz="0" w:space="0" w:color="auto"/>
                        <w:left w:val="none" w:sz="0" w:space="0" w:color="auto"/>
                        <w:bottom w:val="none" w:sz="0" w:space="0" w:color="auto"/>
                        <w:right w:val="none" w:sz="0" w:space="0" w:color="auto"/>
                      </w:divBdr>
                    </w:div>
                    <w:div w:id="1243443308">
                      <w:marLeft w:val="0"/>
                      <w:marRight w:val="0"/>
                      <w:marTop w:val="0"/>
                      <w:marBottom w:val="0"/>
                      <w:divBdr>
                        <w:top w:val="none" w:sz="0" w:space="0" w:color="auto"/>
                        <w:left w:val="none" w:sz="0" w:space="0" w:color="auto"/>
                        <w:bottom w:val="none" w:sz="0" w:space="0" w:color="auto"/>
                        <w:right w:val="none" w:sz="0" w:space="0" w:color="auto"/>
                      </w:divBdr>
                    </w:div>
                    <w:div w:id="2090350582">
                      <w:marLeft w:val="0"/>
                      <w:marRight w:val="0"/>
                      <w:marTop w:val="0"/>
                      <w:marBottom w:val="0"/>
                      <w:divBdr>
                        <w:top w:val="none" w:sz="0" w:space="0" w:color="auto"/>
                        <w:left w:val="none" w:sz="0" w:space="0" w:color="auto"/>
                        <w:bottom w:val="none" w:sz="0" w:space="0" w:color="auto"/>
                        <w:right w:val="none" w:sz="0" w:space="0" w:color="auto"/>
                      </w:divBdr>
                    </w:div>
                    <w:div w:id="1846092309">
                      <w:marLeft w:val="0"/>
                      <w:marRight w:val="0"/>
                      <w:marTop w:val="0"/>
                      <w:marBottom w:val="0"/>
                      <w:divBdr>
                        <w:top w:val="none" w:sz="0" w:space="0" w:color="auto"/>
                        <w:left w:val="none" w:sz="0" w:space="0" w:color="auto"/>
                        <w:bottom w:val="none" w:sz="0" w:space="0" w:color="auto"/>
                        <w:right w:val="none" w:sz="0" w:space="0" w:color="auto"/>
                      </w:divBdr>
                    </w:div>
                    <w:div w:id="142355015">
                      <w:marLeft w:val="0"/>
                      <w:marRight w:val="0"/>
                      <w:marTop w:val="0"/>
                      <w:marBottom w:val="0"/>
                      <w:divBdr>
                        <w:top w:val="none" w:sz="0" w:space="0" w:color="auto"/>
                        <w:left w:val="none" w:sz="0" w:space="0" w:color="auto"/>
                        <w:bottom w:val="none" w:sz="0" w:space="0" w:color="auto"/>
                        <w:right w:val="none" w:sz="0" w:space="0" w:color="auto"/>
                      </w:divBdr>
                    </w:div>
                    <w:div w:id="1982428">
                      <w:marLeft w:val="0"/>
                      <w:marRight w:val="0"/>
                      <w:marTop w:val="0"/>
                      <w:marBottom w:val="0"/>
                      <w:divBdr>
                        <w:top w:val="none" w:sz="0" w:space="0" w:color="auto"/>
                        <w:left w:val="none" w:sz="0" w:space="0" w:color="auto"/>
                        <w:bottom w:val="none" w:sz="0" w:space="0" w:color="auto"/>
                        <w:right w:val="none" w:sz="0" w:space="0" w:color="auto"/>
                      </w:divBdr>
                    </w:div>
                    <w:div w:id="2102988542">
                      <w:marLeft w:val="0"/>
                      <w:marRight w:val="0"/>
                      <w:marTop w:val="0"/>
                      <w:marBottom w:val="0"/>
                      <w:divBdr>
                        <w:top w:val="none" w:sz="0" w:space="0" w:color="auto"/>
                        <w:left w:val="none" w:sz="0" w:space="0" w:color="auto"/>
                        <w:bottom w:val="none" w:sz="0" w:space="0" w:color="auto"/>
                        <w:right w:val="none" w:sz="0" w:space="0" w:color="auto"/>
                      </w:divBdr>
                    </w:div>
                    <w:div w:id="853305958">
                      <w:marLeft w:val="0"/>
                      <w:marRight w:val="0"/>
                      <w:marTop w:val="0"/>
                      <w:marBottom w:val="0"/>
                      <w:divBdr>
                        <w:top w:val="none" w:sz="0" w:space="0" w:color="auto"/>
                        <w:left w:val="none" w:sz="0" w:space="0" w:color="auto"/>
                        <w:bottom w:val="none" w:sz="0" w:space="0" w:color="auto"/>
                        <w:right w:val="none" w:sz="0" w:space="0" w:color="auto"/>
                      </w:divBdr>
                    </w:div>
                    <w:div w:id="1989552416">
                      <w:marLeft w:val="0"/>
                      <w:marRight w:val="0"/>
                      <w:marTop w:val="0"/>
                      <w:marBottom w:val="0"/>
                      <w:divBdr>
                        <w:top w:val="none" w:sz="0" w:space="0" w:color="auto"/>
                        <w:left w:val="none" w:sz="0" w:space="0" w:color="auto"/>
                        <w:bottom w:val="none" w:sz="0" w:space="0" w:color="auto"/>
                        <w:right w:val="none" w:sz="0" w:space="0" w:color="auto"/>
                      </w:divBdr>
                    </w:div>
                    <w:div w:id="933632335">
                      <w:marLeft w:val="0"/>
                      <w:marRight w:val="0"/>
                      <w:marTop w:val="0"/>
                      <w:marBottom w:val="0"/>
                      <w:divBdr>
                        <w:top w:val="none" w:sz="0" w:space="0" w:color="auto"/>
                        <w:left w:val="none" w:sz="0" w:space="0" w:color="auto"/>
                        <w:bottom w:val="none" w:sz="0" w:space="0" w:color="auto"/>
                        <w:right w:val="none" w:sz="0" w:space="0" w:color="auto"/>
                      </w:divBdr>
                    </w:div>
                    <w:div w:id="1757630684">
                      <w:marLeft w:val="0"/>
                      <w:marRight w:val="0"/>
                      <w:marTop w:val="0"/>
                      <w:marBottom w:val="0"/>
                      <w:divBdr>
                        <w:top w:val="none" w:sz="0" w:space="0" w:color="auto"/>
                        <w:left w:val="none" w:sz="0" w:space="0" w:color="auto"/>
                        <w:bottom w:val="none" w:sz="0" w:space="0" w:color="auto"/>
                        <w:right w:val="none" w:sz="0" w:space="0" w:color="auto"/>
                      </w:divBdr>
                    </w:div>
                    <w:div w:id="873614666">
                      <w:marLeft w:val="0"/>
                      <w:marRight w:val="0"/>
                      <w:marTop w:val="0"/>
                      <w:marBottom w:val="0"/>
                      <w:divBdr>
                        <w:top w:val="none" w:sz="0" w:space="0" w:color="auto"/>
                        <w:left w:val="none" w:sz="0" w:space="0" w:color="auto"/>
                        <w:bottom w:val="none" w:sz="0" w:space="0" w:color="auto"/>
                        <w:right w:val="none" w:sz="0" w:space="0" w:color="auto"/>
                      </w:divBdr>
                    </w:div>
                    <w:div w:id="839396636">
                      <w:marLeft w:val="0"/>
                      <w:marRight w:val="0"/>
                      <w:marTop w:val="0"/>
                      <w:marBottom w:val="0"/>
                      <w:divBdr>
                        <w:top w:val="none" w:sz="0" w:space="0" w:color="auto"/>
                        <w:left w:val="none" w:sz="0" w:space="0" w:color="auto"/>
                        <w:bottom w:val="none" w:sz="0" w:space="0" w:color="auto"/>
                        <w:right w:val="none" w:sz="0" w:space="0" w:color="auto"/>
                      </w:divBdr>
                    </w:div>
                    <w:div w:id="858742392">
                      <w:marLeft w:val="0"/>
                      <w:marRight w:val="0"/>
                      <w:marTop w:val="0"/>
                      <w:marBottom w:val="0"/>
                      <w:divBdr>
                        <w:top w:val="none" w:sz="0" w:space="0" w:color="auto"/>
                        <w:left w:val="none" w:sz="0" w:space="0" w:color="auto"/>
                        <w:bottom w:val="none" w:sz="0" w:space="0" w:color="auto"/>
                        <w:right w:val="none" w:sz="0" w:space="0" w:color="auto"/>
                      </w:divBdr>
                    </w:div>
                    <w:div w:id="1365137661">
                      <w:marLeft w:val="0"/>
                      <w:marRight w:val="0"/>
                      <w:marTop w:val="0"/>
                      <w:marBottom w:val="0"/>
                      <w:divBdr>
                        <w:top w:val="none" w:sz="0" w:space="0" w:color="auto"/>
                        <w:left w:val="none" w:sz="0" w:space="0" w:color="auto"/>
                        <w:bottom w:val="none" w:sz="0" w:space="0" w:color="auto"/>
                        <w:right w:val="none" w:sz="0" w:space="0" w:color="auto"/>
                      </w:divBdr>
                    </w:div>
                    <w:div w:id="150291057">
                      <w:marLeft w:val="0"/>
                      <w:marRight w:val="0"/>
                      <w:marTop w:val="0"/>
                      <w:marBottom w:val="0"/>
                      <w:divBdr>
                        <w:top w:val="none" w:sz="0" w:space="0" w:color="auto"/>
                        <w:left w:val="none" w:sz="0" w:space="0" w:color="auto"/>
                        <w:bottom w:val="none" w:sz="0" w:space="0" w:color="auto"/>
                        <w:right w:val="none" w:sz="0" w:space="0" w:color="auto"/>
                      </w:divBdr>
                    </w:div>
                    <w:div w:id="200020389">
                      <w:marLeft w:val="0"/>
                      <w:marRight w:val="0"/>
                      <w:marTop w:val="0"/>
                      <w:marBottom w:val="0"/>
                      <w:divBdr>
                        <w:top w:val="none" w:sz="0" w:space="0" w:color="auto"/>
                        <w:left w:val="none" w:sz="0" w:space="0" w:color="auto"/>
                        <w:bottom w:val="none" w:sz="0" w:space="0" w:color="auto"/>
                        <w:right w:val="none" w:sz="0" w:space="0" w:color="auto"/>
                      </w:divBdr>
                    </w:div>
                    <w:div w:id="1702591292">
                      <w:marLeft w:val="0"/>
                      <w:marRight w:val="0"/>
                      <w:marTop w:val="0"/>
                      <w:marBottom w:val="0"/>
                      <w:divBdr>
                        <w:top w:val="none" w:sz="0" w:space="0" w:color="auto"/>
                        <w:left w:val="none" w:sz="0" w:space="0" w:color="auto"/>
                        <w:bottom w:val="none" w:sz="0" w:space="0" w:color="auto"/>
                        <w:right w:val="none" w:sz="0" w:space="0" w:color="auto"/>
                      </w:divBdr>
                    </w:div>
                    <w:div w:id="1688483019">
                      <w:marLeft w:val="0"/>
                      <w:marRight w:val="0"/>
                      <w:marTop w:val="0"/>
                      <w:marBottom w:val="0"/>
                      <w:divBdr>
                        <w:top w:val="none" w:sz="0" w:space="0" w:color="auto"/>
                        <w:left w:val="none" w:sz="0" w:space="0" w:color="auto"/>
                        <w:bottom w:val="none" w:sz="0" w:space="0" w:color="auto"/>
                        <w:right w:val="none" w:sz="0" w:space="0" w:color="auto"/>
                      </w:divBdr>
                    </w:div>
                    <w:div w:id="1659648148">
                      <w:marLeft w:val="0"/>
                      <w:marRight w:val="0"/>
                      <w:marTop w:val="0"/>
                      <w:marBottom w:val="0"/>
                      <w:divBdr>
                        <w:top w:val="none" w:sz="0" w:space="0" w:color="auto"/>
                        <w:left w:val="none" w:sz="0" w:space="0" w:color="auto"/>
                        <w:bottom w:val="none" w:sz="0" w:space="0" w:color="auto"/>
                        <w:right w:val="none" w:sz="0" w:space="0" w:color="auto"/>
                      </w:divBdr>
                    </w:div>
                    <w:div w:id="804158493">
                      <w:marLeft w:val="0"/>
                      <w:marRight w:val="0"/>
                      <w:marTop w:val="0"/>
                      <w:marBottom w:val="0"/>
                      <w:divBdr>
                        <w:top w:val="none" w:sz="0" w:space="0" w:color="auto"/>
                        <w:left w:val="none" w:sz="0" w:space="0" w:color="auto"/>
                        <w:bottom w:val="none" w:sz="0" w:space="0" w:color="auto"/>
                        <w:right w:val="none" w:sz="0" w:space="0" w:color="auto"/>
                      </w:divBdr>
                    </w:div>
                    <w:div w:id="482308884">
                      <w:marLeft w:val="0"/>
                      <w:marRight w:val="0"/>
                      <w:marTop w:val="0"/>
                      <w:marBottom w:val="0"/>
                      <w:divBdr>
                        <w:top w:val="none" w:sz="0" w:space="0" w:color="auto"/>
                        <w:left w:val="none" w:sz="0" w:space="0" w:color="auto"/>
                        <w:bottom w:val="none" w:sz="0" w:space="0" w:color="auto"/>
                        <w:right w:val="none" w:sz="0" w:space="0" w:color="auto"/>
                      </w:divBdr>
                    </w:div>
                    <w:div w:id="41291638">
                      <w:marLeft w:val="0"/>
                      <w:marRight w:val="0"/>
                      <w:marTop w:val="0"/>
                      <w:marBottom w:val="0"/>
                      <w:divBdr>
                        <w:top w:val="none" w:sz="0" w:space="0" w:color="auto"/>
                        <w:left w:val="none" w:sz="0" w:space="0" w:color="auto"/>
                        <w:bottom w:val="none" w:sz="0" w:space="0" w:color="auto"/>
                        <w:right w:val="none" w:sz="0" w:space="0" w:color="auto"/>
                      </w:divBdr>
                    </w:div>
                    <w:div w:id="474299260">
                      <w:marLeft w:val="0"/>
                      <w:marRight w:val="0"/>
                      <w:marTop w:val="0"/>
                      <w:marBottom w:val="0"/>
                      <w:divBdr>
                        <w:top w:val="none" w:sz="0" w:space="0" w:color="auto"/>
                        <w:left w:val="none" w:sz="0" w:space="0" w:color="auto"/>
                        <w:bottom w:val="none" w:sz="0" w:space="0" w:color="auto"/>
                        <w:right w:val="none" w:sz="0" w:space="0" w:color="auto"/>
                      </w:divBdr>
                    </w:div>
                    <w:div w:id="441464578">
                      <w:marLeft w:val="0"/>
                      <w:marRight w:val="0"/>
                      <w:marTop w:val="0"/>
                      <w:marBottom w:val="0"/>
                      <w:divBdr>
                        <w:top w:val="none" w:sz="0" w:space="0" w:color="auto"/>
                        <w:left w:val="none" w:sz="0" w:space="0" w:color="auto"/>
                        <w:bottom w:val="none" w:sz="0" w:space="0" w:color="auto"/>
                        <w:right w:val="none" w:sz="0" w:space="0" w:color="auto"/>
                      </w:divBdr>
                    </w:div>
                    <w:div w:id="12950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5640">
          <w:marLeft w:val="0"/>
          <w:marRight w:val="0"/>
          <w:marTop w:val="0"/>
          <w:marBottom w:val="0"/>
          <w:divBdr>
            <w:top w:val="none" w:sz="0" w:space="0" w:color="auto"/>
            <w:left w:val="none" w:sz="0" w:space="0" w:color="auto"/>
            <w:bottom w:val="none" w:sz="0" w:space="0" w:color="auto"/>
            <w:right w:val="none" w:sz="0" w:space="0" w:color="auto"/>
          </w:divBdr>
          <w:divsChild>
            <w:div w:id="20371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ndss/conditions/coronavirus-disease-2019-covid-19/case-definition/2020/08/05/" TargetMode="External"/><Relationship Id="rId13" Type="http://schemas.openxmlformats.org/officeDocument/2006/relationships/hyperlink" Target="https://wwwn.cdc.gov/nndss/conditions/coronavirus-disease-2019-covid-19/case-definition/2020/" TargetMode="External"/><Relationship Id="rId18" Type="http://schemas.openxmlformats.org/officeDocument/2006/relationships/hyperlink" Target="https://cdn.ymaws.com/www.cste.org/resource/resmgr/2020ps/Interim-20-ID-01_COVID-19.pdf" TargetMode="External"/><Relationship Id="rId26" Type="http://schemas.openxmlformats.org/officeDocument/2006/relationships/hyperlink" Target="https://cdn.ymaws.com/www.cste.org/resource/resmgr/2020ps/Interim-20-ID-01_COVID-19.pdf" TargetMode="External"/><Relationship Id="rId3" Type="http://schemas.openxmlformats.org/officeDocument/2006/relationships/webSettings" Target="webSettings.xml"/><Relationship Id="rId21" Type="http://schemas.openxmlformats.org/officeDocument/2006/relationships/hyperlink" Target="https://wwwn.cdc.gov/nndss/conditions/coronavirus-disease-2019-covid-19/case-definition/2020/" TargetMode="External"/><Relationship Id="rId7" Type="http://schemas.openxmlformats.org/officeDocument/2006/relationships/hyperlink" Target="https://wwwn.cdc.gov/nndss/conditions/coronavirus-disease-2019-covid-19/case-definition/2020/" TargetMode="External"/><Relationship Id="rId12" Type="http://schemas.openxmlformats.org/officeDocument/2006/relationships/hyperlink" Target="https://cdn.ymaws.com/www.cste.org/resource/resmgr/2020ps/Interim-20-ID-01_COVID-19.pdf" TargetMode="External"/><Relationship Id="rId17" Type="http://schemas.openxmlformats.org/officeDocument/2006/relationships/hyperlink" Target="https://wwwn.cdc.gov/nndss/conditions/coronavirus-disease-2019-covid-19/case-definition/2020/" TargetMode="External"/><Relationship Id="rId25" Type="http://schemas.openxmlformats.org/officeDocument/2006/relationships/hyperlink" Target="https://wwwn.cdc.gov/nndss/conditions/coronavirus-disease-2019-covid-19/case-definition/2020/" TargetMode="External"/><Relationship Id="rId2" Type="http://schemas.openxmlformats.org/officeDocument/2006/relationships/settings" Target="settings.xml"/><Relationship Id="rId16" Type="http://schemas.openxmlformats.org/officeDocument/2006/relationships/hyperlink" Target="https://cdn.ymaws.com/www.cste.org/resource/resmgr/2020ps/Interim-20-ID-01_COVID-19.pdf" TargetMode="External"/><Relationship Id="rId20" Type="http://schemas.openxmlformats.org/officeDocument/2006/relationships/hyperlink" Target="https://cdn.ymaws.com/www.cste.org/resource/resmgr/2020ps/Interim-20-ID-01_COVID-19.pdf" TargetMode="External"/><Relationship Id="rId29" Type="http://schemas.openxmlformats.org/officeDocument/2006/relationships/hyperlink" Target="https://covidtracking.com/about-data/state-grades" TargetMode="External"/><Relationship Id="rId1" Type="http://schemas.openxmlformats.org/officeDocument/2006/relationships/styles" Target="styles.xml"/><Relationship Id="rId6" Type="http://schemas.openxmlformats.org/officeDocument/2006/relationships/hyperlink" Target="https://wwwn.cdc.gov/nndss/conditions/coronavirus-disease-2019-covid-19/case-definition/2020/08/05/" TargetMode="External"/><Relationship Id="rId11" Type="http://schemas.openxmlformats.org/officeDocument/2006/relationships/hyperlink" Target="https://wwwn.cdc.gov/nndss/conditions/coronavirus-disease-2019-covid-19/case-definition/2020/" TargetMode="External"/><Relationship Id="rId24" Type="http://schemas.openxmlformats.org/officeDocument/2006/relationships/hyperlink" Target="https://cdn.ymaws.com/www.cste.org/resource/resmgr/2020ps/Interim-20-ID-01_COVID-19.pdf" TargetMode="External"/><Relationship Id="rId32" Type="http://schemas.openxmlformats.org/officeDocument/2006/relationships/theme" Target="theme/theme1.xml"/><Relationship Id="rId5" Type="http://schemas.openxmlformats.org/officeDocument/2006/relationships/hyperlink" Target="https://wwwn.cdc.gov/nndss/conditions/coronavirus-disease-2019-covid-19/case-definition/2020/" TargetMode="External"/><Relationship Id="rId15" Type="http://schemas.openxmlformats.org/officeDocument/2006/relationships/hyperlink" Target="https://wwwn.cdc.gov/nndss/conditions/coronavirus-disease-2019-covid-19/case-definition/2020/" TargetMode="External"/><Relationship Id="rId23" Type="http://schemas.openxmlformats.org/officeDocument/2006/relationships/hyperlink" Target="https://wwwn.cdc.gov/nndss/conditions/coronavirus-disease-2019-covid-19/case-definition/2020/" TargetMode="External"/><Relationship Id="rId28" Type="http://schemas.openxmlformats.org/officeDocument/2006/relationships/hyperlink" Target="https://www.cdc.gov/coronavirus/2019-ncov/hcp/disposition-in-home-patients.html" TargetMode="External"/><Relationship Id="rId10" Type="http://schemas.openxmlformats.org/officeDocument/2006/relationships/hyperlink" Target="https://cdn.ymaws.com/www.cste.org/resource/resmgr/2020ps/Interim-20-ID-01_COVID-19.pdf" TargetMode="External"/><Relationship Id="rId19" Type="http://schemas.openxmlformats.org/officeDocument/2006/relationships/hyperlink" Target="https://wwwn.cdc.gov/nndss/conditions/coronavirus-disease-2019-covid-19/case-definition/2020/" TargetMode="External"/><Relationship Id="rId31" Type="http://schemas.openxmlformats.org/officeDocument/2006/relationships/fontTable" Target="fontTable.xml"/><Relationship Id="rId4" Type="http://schemas.openxmlformats.org/officeDocument/2006/relationships/hyperlink" Target="https://wwwn.cdc.gov/nndss/conditions/coronavirus-disease-2019-covid-19/case-definition/2020/08/05/" TargetMode="External"/><Relationship Id="rId9" Type="http://schemas.openxmlformats.org/officeDocument/2006/relationships/hyperlink" Target="https://wwwn.cdc.gov/nndss/conditions/coronavirus-disease-2019-covid-19/case-definition/2020/" TargetMode="External"/><Relationship Id="rId14" Type="http://schemas.openxmlformats.org/officeDocument/2006/relationships/hyperlink" Target="https://cdn.ymaws.com/www.cste.org/resource/resmgr/2020ps/Interim-20-ID-01_COVID-19.pdf" TargetMode="External"/><Relationship Id="rId22" Type="http://schemas.openxmlformats.org/officeDocument/2006/relationships/hyperlink" Target="https://cdn.ymaws.com/www.cste.org/resource/resmgr/2020ps/Interim-20-ID-01_COVID-19.pdf" TargetMode="External"/><Relationship Id="rId27" Type="http://schemas.openxmlformats.org/officeDocument/2006/relationships/hyperlink" Target="https://wwwn.cdc.gov/nndss/conditions/coronavirus-disease-2019-covid-19/case-definition/2020/" TargetMode="External"/><Relationship Id="rId30" Type="http://schemas.openxmlformats.org/officeDocument/2006/relationships/hyperlink" Target="https://docs.google.com/spreadsheets/u/1/d/e/2PACX-1vRL2zG1o-qj9l2sl19d1lj1oHd6WbkJ0ukFwN04a_ms_ANUdgxTMpI7AF-gbQzwOSreJUDx6PEK7Vnq/p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2687</Words>
  <Characters>15318</Characters>
  <Application>Microsoft Office Word</Application>
  <DocSecurity>0</DocSecurity>
  <Lines>127</Lines>
  <Paragraphs>35</Paragraphs>
  <ScaleCrop>false</ScaleCrop>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Harrison</dc:creator>
  <cp:keywords/>
  <dc:description/>
  <cp:lastModifiedBy>Lisa Harrison</cp:lastModifiedBy>
  <cp:revision>2</cp:revision>
  <dcterms:created xsi:type="dcterms:W3CDTF">2020-12-05T19:29:00Z</dcterms:created>
  <dcterms:modified xsi:type="dcterms:W3CDTF">2020-12-05T19:30:00Z</dcterms:modified>
</cp:coreProperties>
</file>