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1.png" ContentType="image/png"/>
  <Override PartName="/word/media/rId39.png" ContentType="image/png"/>
  <Override PartName="/word/media/rId35.png" ContentType="image/png"/>
  <Override PartName="/word/media/rId29.png" ContentType="image/png"/>
  <Override PartName="/word/media/rId4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Datum"/>
      </w:pPr>
      <w:r>
        <w:t xml:space="preserve">16</w:t>
      </w:r>
      <w:r>
        <w:t xml:space="preserve"> </w:t>
      </w:r>
      <w:r>
        <w:t xml:space="preserve">September,</w:t>
      </w:r>
      <w:r>
        <w:t xml:space="preserve"> </w:t>
      </w:r>
      <w:r>
        <w:t xml:space="preserve">2017</w:t>
      </w:r>
    </w:p>
    <w:tbl>
      <w:tblPr>
        <w:tblStyle w:val="TableNormal"/>
        <w:tblW w:type="pct" w:w="5000.0"/>
        <w:tblLook/>
      </w:tblPr>
      <w:tblGrid>
        <w:gridCol w:w="7920"/>
      </w:tblGrid>
      <w:tr>
        <w:tc>
          <w:p>
            <w:pPr>
              <w:pStyle w:val="Compact"/>
              <w:jc w:val="center"/>
            </w:pPr>
            <w:r>
              <w:t xml:space="preserve">Ben Marwick</w:t>
            </w:r>
            <w:r>
              <w:rPr>
                <w:vertAlign w:val="superscript"/>
              </w:rPr>
              <w:t xml:space="preserve">1</w:t>
            </w:r>
            <w:r>
              <w:t xml:space="preserve"> &amp; Suzanne E. Pilaar Birch</w:t>
            </w:r>
            <w:r>
              <w:rPr>
                <w:vertAlign w:val="superscript"/>
              </w:rPr>
              <w:t xml:space="preserve">2</w:t>
            </w:r>
          </w:p>
        </w:tc>
      </w:tr>
      <w:tr>
        <w:tc>
          <w:p>
            <w:pPr>
              <w:pStyle w:val="Compact"/>
              <w:jc w:val="center"/>
            </w:pPr>
            <w:r>
              <w:t xml:space="preserve">                                                                                                                                                    </w:t>
            </w:r>
          </w:p>
        </w:tc>
      </w:tr>
      <w:tr>
        <w:tc>
          <w:p>
            <w:pPr>
              <w:pStyle w:val="Compact"/>
              <w:jc w:val="center"/>
            </w:pPr>
            <w:r>
              <w:rPr>
                <w:vertAlign w:val="superscript"/>
              </w:rPr>
              <w:t xml:space="preserve">1</w:t>
            </w:r>
            <w:r>
              <w:t xml:space="preserve"> </w:t>
            </w:r>
            <w:r>
              <w:t xml:space="preserve">University of Washington, Seattle, Washington, USA</w:t>
            </w:r>
          </w:p>
        </w:tc>
      </w:tr>
      <w:tr>
        <w:tc>
          <w:p>
            <w:pPr>
              <w:pStyle w:val="Compact"/>
              <w:jc w:val="center"/>
            </w:pPr>
            <w:r>
              <w:rPr>
                <w:vertAlign w:val="superscript"/>
              </w:rPr>
              <w:t xml:space="preserve">2</w:t>
            </w:r>
            <w:r>
              <w:t xml:space="preserve"> </w:t>
            </w:r>
            <w:r>
              <w:t xml:space="preserve">University of Georgia, Athens, Georgia, USA</w:t>
            </w:r>
          </w:p>
        </w:tc>
      </w:tr>
      <w:tr>
        <w:tc>
          <w:p>
            <w:pPr>
              <w:pStyle w:val="Compact"/>
              <w:jc w:val="center"/>
            </w:pPr>
            <w:r>
              <w:t xml:space="preserve">                                                                                                                                                    </w:t>
            </w:r>
          </w:p>
        </w:tc>
      </w:tr>
    </w:tbl>
    <w:p>
      <w:pPr>
        <w:pStyle w:val="Textkrper"/>
      </w:pPr>
      <w:r>
        <w:t xml:space="preserve"> </w:t>
      </w:r>
    </w:p>
    <w:p>
      <w:pPr>
        <w:pStyle w:val="Heading1"/>
      </w:pPr>
      <w:bookmarkStart w:id="21" w:name="author-note"/>
      <w:bookmarkEnd w:id="21"/>
      <w:r>
        <w:t xml:space="preserve">Author note</w:t>
      </w:r>
    </w:p>
    <w:p>
      <w:pPr>
        <w:pStyle w:val="FirstParagraph"/>
      </w:pPr>
      <w:r>
        <w:t xml:space="preserve">Correspondence concerning this article should be addressed to Ben Marwick, Department of Anthropology, University of Washington, Seattle, 98115, WA, USA. E-mail:</w:t>
      </w:r>
      <w:r>
        <w:t xml:space="preserve"> </w:t>
      </w:r>
      <w:hyperlink r:id="rId22">
        <w:r>
          <w:rPr>
            <w:rStyle w:val="Hyperlink"/>
          </w:rPr>
          <w:t xml:space="preserve">bmarwick@uw.edu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3" w:name="abstract"/>
      <w:bookmarkEnd w:id="23"/>
      <w:r>
        <w:t xml:space="preserve">Abstract</w:t>
      </w:r>
    </w:p>
    <w:p>
      <w:pPr>
        <w:pStyle w:val="FirstParagraph"/>
      </w:pPr>
      <w:r>
        <w:t xml:space="preserve">"How do archaeologists share their research data, if at all? We review what data are, according to current influential definitions, and previous work on the benefits, costs and norms of data sharing in the sciences broadly. To understand data sharing in archaeology, we present the results of three pilot studies: requests for data by email; review of data availability in published articles, and analysis of archaeological datasets deposited in repositories. We find that archaeologists are often willing to share, but discipline-wide sharing is patchy and ad hoc. Legislation and mandates are effective at increasing data-sharing, but editorial policies at journals lack adequate enforcement. Although most of data available at repositories are licensed to enable flexible reuse, only a small proportion of the data are stored in structured formats for easy reuse. We present some suggestions for improving the state of date sharing in archaeology, among these is a standard for citing data sets to ensure that researchers making their data publicly available receive appropriate credit."</w:t>
      </w:r>
    </w:p>
    <w:p>
      <w:pPr>
        <w:pStyle w:val="Textkrper"/>
      </w:pPr>
      <w:r>
        <w:rPr>
          <w:i/>
        </w:rPr>
        <w:t xml:space="preserve">Keywords:</w:t>
      </w:r>
    </w:p>
    <w:p>
      <w:pPr>
        <w:pStyle w:val="Textkrper"/>
      </w:pPr>
      <w:r>
        <w:t xml:space="preserve">Word count:</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4" w:name="a-standard-for-the-scholarly-citation-of-archaeological-data"/>
      <w:bookmarkEnd w:id="24"/>
      <w:r>
        <w:t xml:space="preserve">A Standard for the Scholarly Citation of Archaeological Data</w:t>
      </w:r>
    </w:p>
    <w:p>
      <w:pPr>
        <w:pStyle w:val="Heading1"/>
      </w:pPr>
      <w:bookmarkStart w:id="25" w:name="introduction"/>
      <w:bookmarkEnd w:id="25"/>
      <w:r>
        <w:t xml:space="preserve">Introduction</w:t>
      </w:r>
    </w:p>
    <w:p>
      <w:pPr>
        <w:pStyle w:val="FirstParagraph"/>
      </w:pPr>
      <w:r>
        <w:t xml:space="preserve">Data are the building blocks of research, and access to data is necessary to fully understand and extend the work of others (Fienberg et al 1985). Yet archaeological data are often not available for a variety of reasons, including a perceived lack of credit for making data available. 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archaeology and identifying novel research directions.</w:t>
      </w:r>
    </w:p>
    <w:p>
      <w:pPr>
        <w:pStyle w:val="Textkrper"/>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6" w:name="what-are-data"/>
      <w:bookmarkEnd w:id="26"/>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Textkrper"/>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 cited in Borgman 2015)</w:t>
      </w:r>
    </w:p>
    <w:p>
      <w:pPr>
        <w:pStyle w:val="TableCaption"/>
      </w:pPr>
      <w:r>
        <w:t xml:space="preserve">Table 1 A selection of definitions of research data</w:t>
      </w:r>
    </w:p>
    <w:tbl>
      <w:tblPr>
        <w:tblStyle w:val="TableNormal"/>
        <w:tblW w:type="pct" w:w="0.0"/>
        <w:tblLook w:firstRow="1"/>
        <w:tblCaption w:val="Table 1 A selection of defini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Textkrper"/>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dependent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w:t>
      </w:r>
    </w:p>
    <w:p>
      <w:pPr>
        <w:pStyle w:val="Textkrper"/>
      </w:pPr>
      <w:r>
        <w:t xml:space="preserve">Pragmatically in our own work, we consider that the main data suitable for sharing as the contents of the computer files (e.g. text, raw structured data, and images) that we analyse or otherwise use to create the figures, tables and quantitative results that we include in our reports and publications. The selection omits materials that could also be considered data accoring to the defintions noted above (e.g. field notes), but we feel our selection represents the most information-dense and meaningful data records that are useful for others wanting to assess the reliability of our work, or resuse our findings in their own work. These are also the items that have been most frequently requested by others writing to us about about our publications.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as well as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and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dependent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to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or a or a Globally Unique Identified/Universally Unique Identifier (GUID/UUID).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Negotiating with stakeholders such as Indigenous groups is essential to avoid harm in data sharing. This might include omitting or degrading location data (e.g. so that site locations are not revealed to the public), and removing or anonymising personally identifiable information. Methods for ensuring privacy can be complex and change rapidly, so seeking expert help may be necessary.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7" w:name="what-are-the-benefits-of-data-sharing-to-the-individual-researcher"/>
      <w:bookmarkEnd w:id="27"/>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 2010</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 2010</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 2010</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 2010</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 2010</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 2010</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 2010</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 2010</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 2010</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 2010</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 2012</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 2012</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 2012</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 2012</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8" w:name="what-do-researchers-think-about-sharing-data"/>
      <w:bookmarkEnd w:id="28"/>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Textkrper"/>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Stodden’s (2009a, b) ‘Reproducible Research Standard’, summarised in Figure</w:t>
      </w:r>
      <w:r>
        <w:t xml:space="preserve"> </w:t>
      </w:r>
      <w:r>
        <w:t xml:space="preserve">1</w:t>
      </w:r>
      <w:r>
        <w:t xml:space="preserve">, is a convenient and robust copyright schema that is in wide use for many typical research projects.</w:t>
      </w:r>
    </w:p>
    <w:p>
      <w:pPr>
        <w:pStyle w:val="FigureWithCaption"/>
      </w:pPr>
      <w:r>
        <w:drawing>
          <wp:inline>
            <wp:extent cx="5753100" cy="2365676"/>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9"/>
                    <a:stretch>
                      <a:fillRect/>
                    </a:stretch>
                  </pic:blipFill>
                  <pic:spPr bwMode="auto">
                    <a:xfrm>
                      <a:off x="0" y="0"/>
                      <a:ext cx="5753100" cy="2365676"/>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Textkrper"/>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30" w:name="what-are-the-current-norms-of-data-sharing"/>
      <w:bookmarkEnd w:id="30"/>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do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This intensive-restricted spectrum also maps on to Sawyer's (2008) analysis of data sharing in data-rich fields compared to data-poor fields. Data rich fields, such as astronomy, oceanography, and ecology, are have three common characterics: pooling and sharing data resources is expected; the cumulative nature of work that builds on common data and common methods reduces the likelihood of alternative data sources and other methods being common; and the number of theoretical choices is limited because there is enough data to adequately test competing theories. Data-poor fields have three common characteristics: data are rare, or hard to get, or both; the types of data available often dictate the methods taken; and theories are relatively easy to generate and more difficult to validate. In data-poor fields, researchers often invest substantial time and resources on gathering their own data. The getting of data, and the quality of the data collected, is often a key determinant of the status of a researcher, leading to hoarding of data as an asset to be traded for professional benefit.</w:t>
      </w:r>
    </w:p>
    <w:p>
      <w:pPr>
        <w:pStyle w:val="Textkrper"/>
      </w:pPr>
      <w:r>
        <w:t xml:space="preserve">Archaeologists can be found all over this spectrum because of the diversity of archaeological research. However, our observations of data sharing in archaeology, and the nature of archaeological research generally, is that it is, for the most part, currently a restricted data-sharing and a data-poor field. There are few standardised and widely used methods for sharing and citing data, a challenge for archaeological data sharing that we hope this paper will help to address.</w:t>
      </w:r>
    </w:p>
    <w:p>
      <w:pPr>
        <w:pStyle w:val="Textkrper"/>
      </w:pPr>
      <w:r>
        <w:t xml:space="preserve">Even though there is a wide spectrum of data sharing behaviours, overall rates of data sharing by individual researchers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Textkrper"/>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Textkrper"/>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 found that the key factors responsible for the unavailability of data was that the data were lost or on inaccessible storage media.</w:t>
      </w:r>
    </w:p>
    <w:p>
      <w:pPr>
        <w:pStyle w:val="Heading1"/>
      </w:pPr>
      <w:bookmarkStart w:id="31" w:name="do-archaeologists-share-data"/>
      <w:bookmarkEnd w:id="31"/>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32" w:name="reproducibility-and-open-source-materials-for-this-study"/>
      <w:bookmarkEnd w:id="32"/>
      <w:r>
        <w:t xml:space="preserve">Reproducibility and open source materials for this study</w:t>
      </w:r>
    </w:p>
    <w:p>
      <w:pPr>
        <w:pStyle w:val="FirstParagraph"/>
      </w:pPr>
      <w:r>
        <w:t xml:space="preserve">To enable re-use of our materials and improve reproducibility and transparency according to the principles outlined in Marwick (2017), we include the entire R code used for all the analysis and visualizations contained in this paper in our compendium at</w:t>
      </w:r>
      <w:r>
        <w:t xml:space="preserve"> </w:t>
      </w:r>
      <w:hyperlink r:id="rId33">
        <w:r>
          <w:rPr>
            <w:rStyle w:val="Hyperlink"/>
          </w:rPr>
          <w:t xml:space="preserve">http://dx.doi.org/10.17605/OSF.IO/KSRUZ</w:t>
        </w:r>
      </w:hyperlink>
      <w:r>
        <w:t xml:space="preserve">. Also in this version-controlled compendium are the raw data for all the tests reported here. All of the figures and quantitative results presented here can be independently reproduced with the code and data in this repository. In our compendium our code is released under the MIT license, our data as CC-0, and our figures as CC-BY, to enable maximum re-use (for more details, see Marwick 2017).</w:t>
      </w:r>
    </w:p>
    <w:p>
      <w:pPr>
        <w:pStyle w:val="Heading2"/>
      </w:pPr>
      <w:bookmarkStart w:id="34" w:name="email-requests-for-data-in-a-published-article"/>
      <w:bookmarkEnd w:id="34"/>
      <w:r>
        <w:t xml:space="preserve">Email requests for data in a published article</w:t>
      </w:r>
    </w:p>
    <w:p>
      <w:pPr>
        <w:pStyle w:val="FirstParagraph"/>
      </w:pPr>
      <w:r>
        <w:t xml:space="preserve">Our sample of authors that we wrote email to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Textkrper"/>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Textkrper"/>
      </w:pPr>
      <w:r>
        <w:t xml:space="preserve">We sent out emails to the first authors of 23 stone artefact experiment papers, and received 15 replies, resulting in a 70% response rate. We received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 ready for distribution. We found no effect on the author's student status at time of publication on data sharing behaviours, with roughly equal proportions of students and non-students sharing and not sharing.</w:t>
      </w:r>
    </w:p>
    <w:p>
      <w:pPr>
        <w:pStyle w:val="Textkrper"/>
      </w:pPr>
      <w:r>
        <w:t xml:space="preserve">Similarly there are no clear patterns data sharing of among different journals. It is remarkable that the authors of the PLOS One paper we contacted declined to share because that refusal violates the policy of that journal at the time of publication of that paper (early 2014). Our finding is not unique -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made their data openly available.</w:t>
      </w:r>
    </w:p>
    <w:p>
      <w:pPr>
        <w:pStyle w:val="Textkrper"/>
      </w:pPr>
      <w:r>
        <w:t xml:space="preserve">We see similar rates of sharing in response to email requests among archaeologists to what have been described in other disciplines (Table</w:t>
      </w:r>
      <w:r>
        <w:t xml:space="preserve"> </w:t>
      </w:r>
      <w:r>
        <w:t xml:space="preserve">6</w:t>
      </w:r>
      <w:r>
        <w:t xml:space="preserve">,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authors are reluctant to share: they are fearful that they will lose the opportunity to produce further publications from those data (a typical concern of researchers in data-poor fields), and that their data are not in a form suitable for sharing and the task of organising those data is not a high priority. These reasons not to share have also been documented in other research areas, noted above. The absence of patterns in the date of the paper, student status of the author and other variables may relate to more to our small sample size than a real absence of relationships in data sharing behaviour.</w:t>
      </w:r>
    </w:p>
    <w:p>
      <w:pPr>
        <w:pStyle w:val="TableCaption"/>
      </w:pPr>
      <w:r>
        <w:t xml:space="preserve">Table 6 Summary of a selection of previous studies of data sharing in various fields, from Spencer (2010). In the study by Peng et al., the authors did not attempt to contact other researchers, but noted the availability of data as described in the published article.</w:t>
      </w:r>
    </w:p>
    <w:tbl>
      <w:tblPr>
        <w:tblStyle w:val="TableNormal"/>
        <w:tblW w:type="pct" w:w="0.0"/>
        <w:tblLook w:firstRow="1"/>
        <w:tblCaption w:val="Table 6 Summary of a selection of previous studies of data sharing in various fields, from Spencer (2010). In the study by Peng et al., the authors did not attempt to contact other researchers, but noted the availability of data as described in the published article."/>
      </w:tblPr>
      <w:tblGrid/>
      <w:tr>
        <w:trPr>
          <w:cnfStyle w:firstRow="1"/>
        </w:trPr>
        <w:tc>
          <w:tcPr>
            <w:tcBorders>
              <w:bottom w:val="single"/>
            </w:tcBorders>
            <w:vAlign w:val="bottom"/>
          </w:tcPr>
          <w:p>
            <w:pPr>
              <w:pStyle w:val="Compact"/>
              <w:jc w:val="left"/>
            </w:pPr>
            <w:r>
              <w:t xml:space="preserve">Subject area</w:t>
            </w:r>
          </w:p>
        </w:tc>
        <w:tc>
          <w:tcPr>
            <w:tcBorders>
              <w:bottom w:val="single"/>
            </w:tcBorders>
            <w:vAlign w:val="bottom"/>
          </w:tcPr>
          <w:p>
            <w:pPr>
              <w:pStyle w:val="Compact"/>
              <w:jc w:val="right"/>
            </w:pPr>
            <w:r>
              <w:t xml:space="preserve">Requested datasets</w:t>
            </w:r>
          </w:p>
        </w:tc>
        <w:tc>
          <w:tcPr>
            <w:tcBorders>
              <w:bottom w:val="single"/>
            </w:tcBorders>
            <w:vAlign w:val="bottom"/>
          </w:tcPr>
          <w:p>
            <w:pPr>
              <w:pStyle w:val="Compact"/>
              <w:jc w:val="left"/>
            </w:pPr>
            <w:r>
              <w:t xml:space="preserve">Available datasets</w:t>
            </w:r>
          </w:p>
        </w:tc>
        <w:tc>
          <w:tcPr>
            <w:tcBorders>
              <w:bottom w:val="single"/>
            </w:tcBorders>
            <w:vAlign w:val="bottom"/>
          </w:tcPr>
          <w:p>
            <w:pPr>
              <w:pStyle w:val="Compact"/>
              <w:jc w:val="left"/>
            </w:pPr>
            <w:r>
              <w:t xml:space="preserve">Source journal(s)</w:t>
            </w:r>
          </w:p>
        </w:tc>
        <w:tc>
          <w:tcPr>
            <w:tcBorders>
              <w:bottom w:val="single"/>
            </w:tcBorders>
            <w:vAlign w:val="bottom"/>
          </w:tcPr>
          <w:p>
            <w:pPr>
              <w:pStyle w:val="Compact"/>
              <w:jc w:val="left"/>
            </w:pPr>
            <w:r>
              <w:t xml:space="preserve">Study</w:t>
            </w:r>
          </w:p>
        </w:tc>
      </w:tr>
      <w:tr>
        <w:tc>
          <w:p>
            <w:pPr>
              <w:pStyle w:val="Compact"/>
              <w:jc w:val="left"/>
            </w:pPr>
            <w:r>
              <w:t xml:space="preserve">Cancer</w:t>
            </w:r>
          </w:p>
        </w:tc>
        <w:tc>
          <w:p>
            <w:pPr>
              <w:pStyle w:val="Compact"/>
              <w:jc w:val="right"/>
            </w:pPr>
            <w:r>
              <w:t xml:space="preserve">64</w:t>
            </w:r>
          </w:p>
        </w:tc>
        <w:tc>
          <w:p>
            <w:pPr>
              <w:pStyle w:val="Compact"/>
              <w:jc w:val="left"/>
            </w:pPr>
            <w:r>
              <w:t xml:space="preserve">42 (66%)</w:t>
            </w:r>
          </w:p>
        </w:tc>
        <w:tc>
          <w:p>
            <w:pPr>
              <w:pStyle w:val="Compact"/>
              <w:jc w:val="left"/>
            </w:pPr>
            <w:r>
              <w:t xml:space="preserve">Various</w:t>
            </w:r>
          </w:p>
        </w:tc>
        <w:tc>
          <w:p>
            <w:pPr>
              <w:pStyle w:val="Compact"/>
              <w:jc w:val="left"/>
            </w:pPr>
            <w:r>
              <w:t xml:space="preserve">Kyzas et al. (2005)</w:t>
            </w:r>
          </w:p>
        </w:tc>
      </w:tr>
      <w:tr>
        <w:tc>
          <w:p>
            <w:pPr>
              <w:pStyle w:val="Compact"/>
              <w:jc w:val="left"/>
            </w:pPr>
            <w:r>
              <w:t xml:space="preserve">Medicine, Cancer</w:t>
            </w:r>
          </w:p>
        </w:tc>
        <w:tc>
          <w:p>
            <w:pPr>
              <w:pStyle w:val="Compact"/>
              <w:jc w:val="right"/>
            </w:pPr>
            <w:r>
              <w:t xml:space="preserve">85</w:t>
            </w:r>
          </w:p>
        </w:tc>
        <w:tc>
          <w:p>
            <w:pPr>
              <w:pStyle w:val="Compact"/>
              <w:jc w:val="left"/>
            </w:pPr>
            <w:r>
              <w:t xml:space="preserve">41 (48%)</w:t>
            </w:r>
          </w:p>
        </w:tc>
        <w:tc>
          <w:p>
            <w:pPr>
              <w:pStyle w:val="Compact"/>
              <w:jc w:val="left"/>
            </w:pPr>
            <w:r>
              <w:t xml:space="preserve">Various</w:t>
            </w:r>
          </w:p>
        </w:tc>
        <w:tc>
          <w:p>
            <w:pPr>
              <w:pStyle w:val="Compact"/>
              <w:jc w:val="left"/>
            </w:pPr>
            <w:r>
              <w:t xml:space="preserve">Piwowar et al. (2007)</w:t>
            </w:r>
          </w:p>
        </w:tc>
      </w:tr>
      <w:tr>
        <w:tc>
          <w:p>
            <w:pPr>
              <w:pStyle w:val="Compact"/>
              <w:jc w:val="left"/>
            </w:pPr>
            <w:r>
              <w:t xml:space="preserve">Psychology</w:t>
            </w:r>
          </w:p>
        </w:tc>
        <w:tc>
          <w:p>
            <w:pPr>
              <w:pStyle w:val="Compact"/>
              <w:jc w:val="right"/>
            </w:pPr>
            <w:r>
              <w:t xml:space="preserve">141</w:t>
            </w:r>
          </w:p>
        </w:tc>
        <w:tc>
          <w:p>
            <w:pPr>
              <w:pStyle w:val="Compact"/>
              <w:jc w:val="left"/>
            </w:pPr>
            <w:r>
              <w:t xml:space="preserve">64 (45%)</w:t>
            </w:r>
          </w:p>
        </w:tc>
        <w:tc>
          <w:p>
            <w:pPr>
              <w:pStyle w:val="Compact"/>
              <w:jc w:val="left"/>
            </w:pPr>
            <w:r>
              <w:t xml:space="preserve">Journal of Personality and Social Psychology, Developmental Psychology, Journal of Consulting and Clinical Psychology, Journal of Experimental Psychology: Learning, Memory, and Cognition.</w:t>
            </w:r>
          </w:p>
        </w:tc>
        <w:tc>
          <w:p>
            <w:pPr>
              <w:pStyle w:val="Compact"/>
              <w:jc w:val="left"/>
            </w:pPr>
            <w:r>
              <w:t xml:space="preserve">Wicherts et al. (2006)</w:t>
            </w:r>
          </w:p>
        </w:tc>
      </w:tr>
      <w:tr>
        <w:tc>
          <w:p>
            <w:pPr>
              <w:pStyle w:val="Compact"/>
              <w:jc w:val="left"/>
            </w:pPr>
            <w:r>
              <w:t xml:space="preserve">Economics</w:t>
            </w:r>
          </w:p>
        </w:tc>
        <w:tc>
          <w:p>
            <w:pPr>
              <w:pStyle w:val="Compact"/>
              <w:jc w:val="right"/>
            </w:pPr>
            <w:r>
              <w:t xml:space="preserve">15</w:t>
            </w:r>
          </w:p>
        </w:tc>
        <w:tc>
          <w:p>
            <w:pPr>
              <w:pStyle w:val="Compact"/>
              <w:jc w:val="left"/>
            </w:pPr>
            <w:r>
              <w:t xml:space="preserve">6 (40%)</w:t>
            </w:r>
          </w:p>
        </w:tc>
        <w:tc>
          <w:p>
            <w:pPr>
              <w:pStyle w:val="Compact"/>
              <w:jc w:val="left"/>
            </w:pPr>
            <w:r>
              <w:t xml:space="preserve">American Economic Review, the International Journal of Industrial Organization, and the Journal of International Economics</w:t>
            </w:r>
          </w:p>
        </w:tc>
        <w:tc>
          <w:p>
            <w:pPr>
              <w:pStyle w:val="Compact"/>
              <w:jc w:val="left"/>
            </w:pPr>
            <w:r>
              <w:t xml:space="preserve">McCullough and Vinod (2005)</w:t>
            </w:r>
          </w:p>
        </w:tc>
      </w:tr>
      <w:tr>
        <w:tc>
          <w:p>
            <w:pPr>
              <w:pStyle w:val="Compact"/>
              <w:jc w:val="left"/>
            </w:pPr>
            <w:r>
              <w:t xml:space="preserve">Economics</w:t>
            </w:r>
          </w:p>
        </w:tc>
        <w:tc>
          <w:p>
            <w:pPr>
              <w:pStyle w:val="Compact"/>
              <w:jc w:val="right"/>
            </w:pPr>
            <w:r>
              <w:t xml:space="preserve">193</w:t>
            </w:r>
          </w:p>
        </w:tc>
        <w:tc>
          <w:p>
            <w:pPr>
              <w:pStyle w:val="Compact"/>
              <w:jc w:val="left"/>
            </w:pPr>
            <w:r>
              <w:t xml:space="preserve">69 (36%)</w:t>
            </w:r>
          </w:p>
        </w:tc>
        <w:tc>
          <w:p>
            <w:pPr>
              <w:pStyle w:val="Compact"/>
              <w:jc w:val="left"/>
            </w:pPr>
            <w:r>
              <w:t xml:space="preserve">Jounal of Money, Credit and Banking</w:t>
            </w:r>
          </w:p>
        </w:tc>
        <w:tc>
          <w:p>
            <w:pPr>
              <w:pStyle w:val="Compact"/>
              <w:jc w:val="left"/>
            </w:pPr>
            <w:r>
              <w:t xml:space="preserve">McCullough et al. (2006)</w:t>
            </w:r>
          </w:p>
        </w:tc>
      </w:tr>
      <w:tr>
        <w:tc>
          <w:p>
            <w:pPr>
              <w:pStyle w:val="Compact"/>
              <w:jc w:val="left"/>
            </w:pPr>
            <w:r>
              <w:t xml:space="preserve">Medicine</w:t>
            </w:r>
          </w:p>
        </w:tc>
        <w:tc>
          <w:p>
            <w:pPr>
              <w:pStyle w:val="Compact"/>
              <w:jc w:val="right"/>
            </w:pPr>
            <w:r>
              <w:t xml:space="preserve">10</w:t>
            </w:r>
          </w:p>
        </w:tc>
        <w:tc>
          <w:p>
            <w:pPr>
              <w:pStyle w:val="Compact"/>
              <w:jc w:val="left"/>
            </w:pPr>
            <w:r>
              <w:t xml:space="preserve">1 (10%)</w:t>
            </w:r>
          </w:p>
        </w:tc>
        <w:tc>
          <w:p>
            <w:pPr>
              <w:pStyle w:val="Compact"/>
              <w:jc w:val="left"/>
            </w:pPr>
            <w:r>
              <w:t xml:space="preserve">PLoS Medicine, PLoS Clinical Trials</w:t>
            </w:r>
          </w:p>
        </w:tc>
        <w:tc>
          <w:p>
            <w:pPr>
              <w:pStyle w:val="Compact"/>
              <w:jc w:val="left"/>
            </w:pPr>
            <w:r>
              <w:t xml:space="preserve">Savage and Vickers (2009)</w:t>
            </w:r>
          </w:p>
        </w:tc>
      </w:tr>
      <w:tr>
        <w:tc>
          <w:p>
            <w:pPr>
              <w:pStyle w:val="Compact"/>
              <w:jc w:val="left"/>
            </w:pPr>
            <w:r>
              <w:t xml:space="preserve">Medicine</w:t>
            </w:r>
          </w:p>
        </w:tc>
        <w:tc>
          <w:p>
            <w:pPr>
              <w:pStyle w:val="Compact"/>
              <w:jc w:val="right"/>
            </w:pPr>
            <w:r>
              <w:t xml:space="preserve">29</w:t>
            </w:r>
          </w:p>
        </w:tc>
        <w:tc>
          <w:p>
            <w:pPr>
              <w:pStyle w:val="Compact"/>
              <w:jc w:val="left"/>
            </w:pPr>
            <w:r>
              <w:t xml:space="preserve">1 (3%)</w:t>
            </w:r>
          </w:p>
        </w:tc>
        <w:tc>
          <w:p>
            <w:pPr>
              <w:pStyle w:val="Compact"/>
              <w:jc w:val="left"/>
            </w:pPr>
            <w:r>
              <w:t xml:space="preserve">British Medical Journal</w:t>
            </w:r>
          </w:p>
        </w:tc>
        <w:tc>
          <w:p>
            <w:pPr>
              <w:pStyle w:val="Compact"/>
              <w:jc w:val="left"/>
            </w:pPr>
            <w:r>
              <w:t xml:space="preserve">Reidpath and Allotey (2002)</w:t>
            </w:r>
          </w:p>
        </w:tc>
      </w:tr>
      <w:tr>
        <w:tc>
          <w:p>
            <w:pPr>
              <w:pStyle w:val="Compact"/>
              <w:jc w:val="left"/>
            </w:pPr>
            <w:r>
              <w:t xml:space="preserve">Epidemiology</w:t>
            </w:r>
          </w:p>
        </w:tc>
        <w:tc>
          <w:p>
            <w:pPr>
              <w:pStyle w:val="Compact"/>
              <w:jc w:val="right"/>
            </w:pPr>
            <w:r>
              <w:t xml:space="preserve">69</w:t>
            </w:r>
          </w:p>
        </w:tc>
        <w:tc>
          <w:p>
            <w:pPr>
              <w:pStyle w:val="Compact"/>
              <w:jc w:val="left"/>
            </w:pPr>
            <w:r>
              <w:t xml:space="preserve">0 (0%)</w:t>
            </w:r>
          </w:p>
        </w:tc>
        <w:tc>
          <w:p>
            <w:pPr>
              <w:pStyle w:val="Compact"/>
              <w:jc w:val="left"/>
            </w:pPr>
            <w:r>
              <w:t xml:space="preserve">American Journal of Epidemiology, Journal of the American Medical Association</w:t>
            </w:r>
          </w:p>
        </w:tc>
        <w:tc>
          <w:p>
            <w:pPr>
              <w:pStyle w:val="Compact"/>
              <w:jc w:val="left"/>
            </w:pPr>
            <w:r>
              <w:t xml:space="preserve">Peng et al. (2006)</w:t>
            </w:r>
          </w:p>
        </w:tc>
      </w:tr>
    </w:tbl>
    <w:p>
      <w:pPr>
        <w:pStyle w:val="FigureWithCaption"/>
      </w:pPr>
      <w:r>
        <w:drawing>
          <wp:inline>
            <wp:extent cx="5753100" cy="3794713"/>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35"/>
                    <a:stretch>
                      <a:fillRect/>
                    </a:stretch>
                  </pic:blipFill>
                  <pic:spPr bwMode="auto">
                    <a:xfrm>
                      <a:off x="0" y="0"/>
                      <a:ext cx="5753100" cy="3794713"/>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6" w:name="survey-of-articles-published-in-the-journal-of-archaeological-science"/>
      <w:bookmarkEnd w:id="36"/>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 followed by radiocarbon and luminescence age data (where the dates are the primary object of analysis, n = 5, 16%) and DNA sequences (n = 4, 12%). Generally, compositional data is presented in tables in the text, dating data is presented in supplementary files, and DNA data are in repositories (as is typical for DNA data). Data shared in supplementary files and online repositories were most often in Microsoft Excel format (n = 38, 38% of the files in supplements files and repositories), followed by CSV (comma separated variables, an open source plain text spreadsheet format, n = 4, 31%), and tables embedded in Microsoft Word or PDF documents (n = 4, 31%). When a scripting language such as R, Python, MATLAB or OxCal was used as the analysis software for a paper (n = 7, 54% of the papers where would identify the software), only 2 papers also provided the script with the paper.</w:t>
      </w:r>
    </w:p>
    <w:p>
      <w:pPr>
        <w:pStyle w:val="Textkrper"/>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8" w:name="data-sets-in-repositories-tracked-by-datacite"/>
      <w:bookmarkEnd w:id="38"/>
      <w:r>
        <w:t xml:space="preserve">Data sets in repositories tracked by DataCite</w:t>
      </w:r>
    </w:p>
    <w:p>
      <w:pPr>
        <w:pStyle w:val="FigureWithCaption"/>
      </w:pPr>
      <w:r>
        <w:drawing>
          <wp:inline>
            <wp:extent cx="5753100" cy="5230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9"/>
                    <a:stretch>
                      <a:fillRect/>
                    </a:stretch>
                  </pic:blipFill>
                  <pic:spPr bwMode="auto">
                    <a:xfrm>
                      <a:off x="0" y="0"/>
                      <a:ext cx="5753100" cy="5230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drawing>
          <wp:inline>
            <wp:extent cx="5753100" cy="2301240"/>
            <wp:effectExtent b="0" l="0" r="0" t="0"/>
            <wp:docPr descr="Figure 5 Relationships between data centres and file formats. The ten most frequently found file formats are shown here, in the data centres with these files from the top ten data centres by number of DOIs. Open file formats for structured data, such as CSV, are not common." id="1" name="Picture"/>
            <a:graphic>
              <a:graphicData uri="http://schemas.openxmlformats.org/drawingml/2006/picture">
                <pic:pic>
                  <pic:nvPicPr>
                    <pic:cNvPr descr="../figures/plot_structured_data_files_per_file_tally.png" id="0" name="Picture"/>
                    <pic:cNvPicPr>
                      <a:picLocks noChangeArrowheads="1" noChangeAspect="1"/>
                    </pic:cNvPicPr>
                  </pic:nvPicPr>
                  <pic:blipFill>
                    <a:blip r:embed="rId40"/>
                    <a:stretch>
                      <a:fillRect/>
                    </a:stretch>
                  </pic:blipFill>
                  <pic:spPr bwMode="auto">
                    <a:xfrm>
                      <a:off x="0" y="0"/>
                      <a:ext cx="5753100" cy="2301240"/>
                    </a:xfrm>
                    <a:prstGeom prst="rect">
                      <a:avLst/>
                    </a:prstGeom>
                    <a:noFill/>
                    <a:ln w="9525">
                      <a:noFill/>
                      <a:headEnd/>
                      <a:tailEnd/>
                    </a:ln>
                  </pic:spPr>
                </pic:pic>
              </a:graphicData>
            </a:graphic>
          </wp:inline>
        </w:drawing>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Textkrper"/>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became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Another spike occurs in 2012 when tDAR had a large increase in deposits, likely due to them waiving their deposit fees for that year (Ellison 2012). After 2009 the volume of deposits declined in many repositories, with the exception of generic repositories such as Figshare, Zenodo and ResearchGate, which continued to grow.</w:t>
      </w:r>
    </w:p>
    <w:p>
      <w:pPr>
        <w:pStyle w:val="Textkrper"/>
      </w:pPr>
      <w:r>
        <w:t xml:space="preserve">Of the 75,632 records with copyright information, the majority are released under the ADS conditions of use (n = 43,661, 58%), which is broadly similar to the CC-BY-NC (Moore and Richards 2015). The next most frequently used condition is the EU Open Access license (n = 22,198, 29%), similar to the CC-BY license. Creative Commons licenses such as CC-BY, CC-0 and others are used by less than 3% of records.</w:t>
      </w:r>
    </w:p>
    <w:p>
      <w:pPr>
        <w:pStyle w:val="Textkrper"/>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0.40% (n = 174). Note that file format information is not present for all records in this sample, and some of the smaller repositories do not supply this information to DataCite at all, so it is possible that the true proportion of structured files in these records is higher than observed here.</w:t>
      </w:r>
    </w:p>
    <w:p>
      <w:pPr>
        <w:pStyle w:val="Textkrper"/>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 ease of reuse of these items is low. Only a small fraction of the items deposited are machine-readable structured data files. The majority of items are PDFs, which require extensive manual handling to extract tabular data for convenient reuse and combination with other datasets.</w:t>
      </w:r>
    </w:p>
    <w:p>
      <w:pPr>
        <w:pStyle w:val="FigureWithCaption"/>
      </w:pPr>
      <w:r>
        <w:drawing>
          <wp:inline>
            <wp:extent cx="5753100" cy="5230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41"/>
                    <a:stretch>
                      <a:fillRect/>
                    </a:stretch>
                  </pic:blipFill>
                  <pic:spPr bwMode="auto">
                    <a:xfrm>
                      <a:off x="0" y="0"/>
                      <a:ext cx="5753100" cy="5230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42"/>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43" w:name="how-to-share-archaeological-data"/>
      <w:bookmarkEnd w:id="43"/>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List of trustworthy repositories are maintained by the editors of the journal</w:t>
      </w:r>
      <w:r>
        <w:t xml:space="preserve"> </w:t>
      </w:r>
      <w:r>
        <w:rPr>
          <w:i/>
        </w:rPr>
        <w:t xml:space="preserve">Scientific Data</w:t>
      </w:r>
      <w:r>
        <w:t xml:space="preserve"> </w:t>
      </w:r>
      <w:r>
        <w:t xml:space="preserve">(n.d) and</w:t>
      </w:r>
      <w:r>
        <w:t xml:space="preserve"> </w:t>
      </w:r>
      <w:hyperlink r:id="rId44">
        <w:r>
          <w:rPr>
            <w:rStyle w:val="Hyperlink"/>
          </w:rPr>
          <w:t xml:space="preserve">http://www.re3data.org</w:t>
        </w:r>
      </w:hyperlink>
      <w:r>
        <w:t xml:space="preserve">, a global registry of research data repositories (Pampel et al. 2013).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practises fall short of all the guidelines, we still see value in sharing data imperfectly, rather than not at all.</w:t>
      </w:r>
    </w:p>
    <w:p>
      <w:pPr>
        <w:pStyle w:val="Textkrper"/>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time, the data can change in untracked ways, and published links to the files are broken when these websites are reorganised, making the files inaccessible. Sharing data via supplementary files attached to a journal article is problematic because they are inaccessible to non-subscribers for paywalled journals, and because publishers often alter the data file formats and file names during the production process. For example, machine-readable format such as CSV are sometimes presented as PDF or Microsoft Word files in supplementary files. The modification of supplementary file names during the article production process can break scripts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repository, and use persistent links to the files in reports and manuscripts.</w:t>
      </w:r>
    </w:p>
    <w:p>
      <w:pPr>
        <w:pStyle w:val="Heading1"/>
      </w:pPr>
      <w:bookmarkStart w:id="45" w:name="how-to-cite-archaeological-data"/>
      <w:bookmarkEnd w:id="45"/>
      <w:r>
        <w:t xml:space="preserve">How to cite archaeological data?</w:t>
      </w:r>
    </w:p>
    <w:p>
      <w:pPr>
        <w:pStyle w:val="FirstParagraph"/>
      </w:pPr>
      <w:r>
        <w:t xml:space="preserve">The Joint Declaration of Data Citation Principles is the current standard in many disciplines for data citation within any research object (Data Citation Synthesis Group 2014). The result of these principles is a citation formation as follows (the exact order of the items may vary slightly across different referencing styles):</w:t>
      </w:r>
    </w:p>
    <w:p>
      <w:pPr>
        <w:pStyle w:val="Textkrper"/>
      </w:pPr>
      <w:r>
        <w:t xml:space="preserve">Creator (PublicationYear). Title. Version. Publisher. Identifier</w:t>
      </w:r>
    </w:p>
    <w:p>
      <w:pPr>
        <w:pStyle w:val="Textkrper"/>
      </w:pPr>
      <w:r>
        <w:t xml:space="preserve">The 'PublicationYear', 'Title' and 'Publisher' are familiar from traditional citation formats, except that the publisher may not be a traditional book or journal publisher, but a dedicated data repository organisation. 'Creator' is equivalent to the author or primary collector and arranger of the data (e.g. Open Context or tDAR).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but not necessarily in a human-readable format), and they remained fixed to a specific file or bundle of files over the lifetime of those objects, even if their location on the internet changes. There are several varieties of these in use, with DOIs (digital object identifiers) currently the most common form. When a data publisher changes the internet address of a data set, they are responsible for informing the DOI-issuing authority so that the DOI resolves to the new location of the files.</w:t>
      </w:r>
    </w:p>
    <w:p>
      <w:pPr>
        <w:pStyle w:val="Textkrper"/>
      </w:pPr>
      <w:r>
        <w:t xml:space="preserve">A DOI consists of three parts:</w:t>
      </w:r>
    </w:p>
    <w:p>
      <w:pPr>
        <w:pStyle w:val="Compact"/>
        <w:numPr>
          <w:numId w:val="1001"/>
          <w:ilvl w:val="0"/>
        </w:numPr>
      </w:pPr>
      <w:r>
        <w:t xml:space="preserve">the proxy, usually</w:t>
      </w:r>
      <w:r>
        <w:t xml:space="preserve"> </w:t>
      </w:r>
      <w:hyperlink r:id="rId46">
        <w:r>
          <w:rPr>
            <w:rStyle w:val="Hyperlink"/>
          </w:rPr>
          <w:t xml:space="preserve">https://doi.org</w:t>
        </w:r>
      </w:hyperlink>
      <w:r>
        <w:t xml:space="preserve"> </w:t>
      </w:r>
      <w:r>
        <w:t xml:space="preserve">but sometimes also</w:t>
      </w:r>
      <w:r>
        <w:t xml:space="preserve"> </w:t>
      </w:r>
      <w:hyperlink r:id="rId47">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sufficient for citing a dataset because, like many things onthe internet, the files can change over time. For example we might upload data files to the repository when we submit a paper for peer review, then get a DOI and cite that in our manuscript so the peer reviewers can see them (some services provide a private URL that can be shared with reviewers but is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 Technological solutions to issues of transience, permanence and granularity in data citation are still in development.</w:t>
      </w:r>
    </w:p>
    <w:p>
      <w:pPr>
        <w:pStyle w:val="Textkrper"/>
      </w:pPr>
      <w:r>
        <w:t xml:space="preserve">When citing data in the text of a manuscript or report, the ideal practice is to cite the dataset and the traditional publication that first described it, like so (Penev et al. 2017):</w:t>
      </w:r>
    </w:p>
    <w:p>
      <w:pPr>
        <w:pStyle w:val="Textkrper"/>
      </w:pPr>
      <w:r>
        <w:t xml:space="preserve">"This paper uses data from the [name] data repository at</w:t>
      </w:r>
      <w:r>
        <w:t xml:space="preserve"> </w:t>
      </w:r>
      <w:hyperlink r:id="rId48">
        <w:r>
          <w:rPr>
            <w:rStyle w:val="Hyperlink"/>
          </w:rPr>
          <w:t xml:space="preserve">http://doi.org/xxx/xxx</w:t>
        </w:r>
      </w:hyperlink>
      <w:r>
        <w:t xml:space="preserve"> </w:t>
      </w:r>
      <w:r>
        <w:t xml:space="preserve">(Author YYYY), first described in Author YYYY"</w:t>
      </w:r>
    </w:p>
    <w:p>
      <w:pPr>
        <w:pStyle w:val="Textkrper"/>
      </w:pPr>
      <w:r>
        <w:t xml:space="preserve">For example:</w:t>
      </w:r>
    </w:p>
    <w:p>
      <w:pPr>
        <w:pStyle w:val="Textkrper"/>
      </w:pPr>
      <w:r>
        <w:t xml:space="preserve">"This paper uses data from the Open Science Framework data repository at</w:t>
      </w:r>
      <w:r>
        <w:t xml:space="preserve"> </w:t>
      </w:r>
      <w:hyperlink r:id="rId49">
        <w:r>
          <w:rPr>
            <w:rStyle w:val="Hyperlink"/>
          </w:rPr>
          <w:t xml:space="preserve">http://doi.org/10.17605/OSF.IO/32A87</w:t>
        </w:r>
      </w:hyperlink>
      <w:r>
        <w:t xml:space="preserve"> </w:t>
      </w:r>
      <w:r>
        <w:t xml:space="preserve">(Marwick 2017), first described in Marwick et al. 2017."</w:t>
      </w:r>
    </w:p>
    <w:p>
      <w:pPr>
        <w:pStyle w:val="Textkrper"/>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receive credit for their work through the normal mechanisms of citation recognition.</w:t>
      </w:r>
    </w:p>
    <w:p>
      <w:pPr>
        <w:pStyle w:val="Textkrper"/>
      </w:pPr>
      <w:r>
        <w:t xml:space="preserve">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 here is a statement that would appear in the paper in which the data are first presented:</w:t>
      </w:r>
    </w:p>
    <w:p>
      <w:pPr>
        <w:pStyle w:val="Textkrper"/>
      </w:pPr>
      <w:r>
        <w:t xml:space="preserve">“The data underpinning the analysis reported in this paper were deposited in the Open Science Framework Repository at</w:t>
      </w:r>
      <w:r>
        <w:t xml:space="preserve"> </w:t>
      </w:r>
      <w:hyperlink r:id="rId50">
        <w:r>
          <w:rPr>
            <w:rStyle w:val="Hyperlink"/>
          </w:rPr>
          <w:t xml:space="preserve">http://dx.doi.org/10.17605/OSF.IO/32A87</w:t>
        </w:r>
      </w:hyperlink>
      <w:r>
        <w:t xml:space="preserve"> </w:t>
      </w:r>
      <w:r>
        <w:t xml:space="preserve">(Marwick 2017).</w:t>
      </w:r>
    </w:p>
    <w:p>
      <w:pPr>
        <w:pStyle w:val="Textkrper"/>
      </w:pPr>
      <w:r>
        <w:t xml:space="preserve">With the reference list of that paper including Marwick (2017) as:</w:t>
      </w:r>
    </w:p>
    <w:p>
      <w:pPr>
        <w:pStyle w:val="Textkrper"/>
      </w:pPr>
      <w:r>
        <w:t xml:space="preserve">Marwick, B. (2017). Dataset and R code for "Movement of lithics by trampling: An experiment in the Madjedbebe sediments",</w:t>
      </w:r>
      <w:r>
        <w:t xml:space="preserve"> </w:t>
      </w:r>
      <w:hyperlink r:id="rId49">
        <w:r>
          <w:rPr>
            <w:rStyle w:val="Hyperlink"/>
          </w:rPr>
          <w:t xml:space="preserve">http://doi.org/10.17605/OSF.IO/32A87</w:t>
        </w:r>
      </w:hyperlink>
      <w:r>
        <w:t xml:space="preserve">, Open Science Framework, Accessed 7 Sept 2017.</w:t>
      </w:r>
    </w:p>
    <w:p>
      <w:pPr>
        <w:pStyle w:val="Heading1"/>
      </w:pPr>
      <w:bookmarkStart w:id="51" w:name="what-are-the-ethics-of-data-sharing"/>
      <w:bookmarkEnd w:id="51"/>
      <w:r>
        <w:t xml:space="preserve">What are the ethics of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Textkrper"/>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heritage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commitment to reducing some of the inequalities in making use of the data, for example, by providing some training in data analysis, or adapting the data into a context that is valued by the indigenous community.</w:t>
      </w:r>
    </w:p>
    <w:p>
      <w:pPr>
        <w:pStyle w:val="Textkrper"/>
      </w:pPr>
      <w:r>
        <w:t xml:space="preserve">In short, there is more to the ethics of data sharing than avoiding risk of damage. Redacting the locations of archaeological sites to prevent looting is an obvious case of preparing data for sharing to reduce the risk of damage to the sites (and in some juridictions, mandated by law).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outcome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52" w:name="summary-and-conclusion"/>
      <w:bookmarkEnd w:id="52"/>
      <w:r>
        <w:t xml:space="preserve">Summary and Conclusion</w:t>
      </w:r>
    </w:p>
    <w:p>
      <w:pPr>
        <w:pStyle w:val="FirstParagraph"/>
      </w:pPr>
      <w:r>
        <w:t xml:space="preserve">The status of research data is slowly changing in many fields from a gift-culture where data are privately-held commodities traded for co-authorship, invitations, and other status tokens (Hagstrom 1982; Wallis et al. 2013), to part of the public commons, accessible to anyone with an internet connection. This change has been fastest in data-rich 'big science' fields, such as astronomy, physics, and oceanography, that use expensive instruments that generate data shared with large teams of collaborators to produce new discoveries (Reichman and Uhlir 2003). However, in 'smaller' data-poor sciences such as archaeology, where collaborative groups are small, data sharing is still mostly ad hoc and disaggregated. Our pilot studies, while small and limited in many ways, support this statement with an overall sharing rate of 20% in responses to private requests for data, and 53% of sampled journal articles with openly available data, in a wide variety of formats and locations. In examining archaeological data deposited in repositories, we found that most of the contents are PDF files of reports, and only a very small fraction of the data files are structured data such as spreadsheets. Archaeologists still have a long way to go in making their data easier to reuse by sharing data in plain text structured data formats such as CSV. We found that legislation requiring data sharing resulted in a substantial increase in the rate of data deposition, and that archaeologists are sensitive to fees charged by a repository.</w:t>
      </w:r>
    </w:p>
    <w:p>
      <w:pPr>
        <w:pStyle w:val="Textkrper"/>
      </w:pPr>
      <w:r>
        <w:t xml:space="preserve">Among the many challenges of increasing the rate of data sharing in archaeology and other 'small' sciences is that data sharing is unfunded, unrewarded and is only rarely required. The challenge of funding can be addressed by professional societies, such as the Society of American Archaeology, communicating to funding bodies, such as the National Science Foundation, about the importance of allocating funds specifically for data sharing and requesting a chance in policy. The challenge of requiring data sharing can also be addressed by funding bodies, but may be most effectively tackled by journal editors and editorial boards, for example by adopting the Transparency and Openness Protocols of the Centre for Open Science (Nosek et al. 2015). Changes in journal-specific submission guidelines can result in desirable changes in authors’ research practices (Giofrè et al 2017). For example, if archaeology journals adopt incentives such as badging (Kidwell et al. 2016), and require as a condition of publication that submitted articles include in the text a properly formatted citation to the data analysed in the article (or an explanation why the data are not available), authors would quickly adapt to this new requirement to ensure their article will be published. As peer reviewers, we can also communicate to editors that we require the manuscripts that we review to include citations of datasets analysied in the manuscript.</w:t>
      </w:r>
    </w:p>
    <w:p>
      <w:pPr>
        <w:pStyle w:val="Textkrper"/>
      </w:pPr>
      <w:r>
        <w:t xml:space="preserve">The challenge of data sharing as an unrewarded behaviour was the primary motivation for this article. By specifying a standard for the scholarly citation of archaeological data we provide a method for giving credit to the authors or compilers of the data. This rewards those authors with visibility and recognition for their effort with citations, a currency that is valued broadly in the discipline. The data citation standard outlined above is easy for humans and search engines to understand, and is highly functional, with a full internet address to the data contained in the citation. The standard can accommodate the addition of additional information required by different citation styles and publishers' requirements. The data citation standard is not dependent on any specific choices of software, archive, data producer, publisher, or author and is easy to adapt into existing writing and research workflows.</w:t>
      </w:r>
    </w:p>
    <w:p>
      <w:pPr>
        <w:pStyle w:val="Heading1"/>
      </w:pPr>
      <w:bookmarkStart w:id="53" w:name="acknowledgements"/>
      <w:bookmarkEnd w:id="53"/>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 Thanks to Canan Cakirlar for insights into the history of archaeological data sharing in the Netherlands. BM was supported by an Australian Research Council Future Fellowship (FT140100101).</w:t>
      </w:r>
    </w:p>
    <w:p>
      <w:pPr>
        <w:pStyle w:val="Heading1"/>
      </w:pPr>
      <w:bookmarkStart w:id="54" w:name="references"/>
      <w:bookmarkEnd w:id="54"/>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55">
        <w:r>
          <w:rPr>
            <w:rStyle w:val="Hyperlink"/>
          </w:rPr>
          <w:t xml:space="preserve">https://doi.org/10.1371/journal.pone.0024357</w:t>
        </w:r>
      </w:hyperlink>
    </w:p>
    <w:p>
      <w:pPr>
        <w:pStyle w:val="Textkrper"/>
      </w:pPr>
      <w:r>
        <w:t xml:space="preserve">American Psychological Association. (2001). Ethical standards for the reporting and publishing of scientiﬁc information. In Publication manual of the American Psychological Association (5th ed., pp. 387–396). Washington, DC</w:t>
      </w:r>
    </w:p>
    <w:p>
      <w:pPr>
        <w:pStyle w:val="Textkrper"/>
      </w:pPr>
      <w:r>
        <w:t xml:space="preserve">ARCHES project. (n.d.). The Standard and Guide to Best Practice in Archaeological Archiving in Europe. Retrieved September 7, 2017, from</w:t>
      </w:r>
      <w:r>
        <w:t xml:space="preserve"> </w:t>
      </w:r>
      <w:hyperlink r:id="rId56">
        <w:r>
          <w:rPr>
            <w:rStyle w:val="Hyperlink"/>
          </w:rPr>
          <w:t xml:space="preserve">http://archaeologydataservice.ac.uk/arches/Wiki.jsp?page=ARCHES%20Introduction</w:t>
        </w:r>
      </w:hyperlink>
    </w:p>
    <w:p>
      <w:pPr>
        <w:pStyle w:val="Textkrper"/>
      </w:pPr>
      <w:r>
        <w:t xml:space="preserve">Bierer, B.E., Crosas, M., Pierce, H.H., 2017. Data Authorship as an Incentive to Data Sharing, New England Journal of Medicine. 376(17):1684-1687</w:t>
      </w:r>
    </w:p>
    <w:p>
      <w:pPr>
        <w:pStyle w:val="Textkrper"/>
      </w:pPr>
      <w:r>
        <w:t xml:space="preserve">Borgman, C. L. (2015). Big data, little data, no data: Scholarship in the networked world. MIT press.</w:t>
      </w:r>
    </w:p>
    <w:p>
      <w:pPr>
        <w:pStyle w:val="Textkrper"/>
      </w:pPr>
      <w:r>
        <w:t xml:space="preserve">Borgman, C. L. (2012). The conundrum of sharing research data. Journal of the American Society for Information Science and Technology, 63(6), 1059–1078.</w:t>
      </w:r>
      <w:r>
        <w:t xml:space="preserve"> </w:t>
      </w:r>
      <w:hyperlink r:id="rId57">
        <w:r>
          <w:rPr>
            <w:rStyle w:val="Hyperlink"/>
          </w:rPr>
          <w:t xml:space="preserve">doi:10.1002/asi.22634</w:t>
        </w:r>
      </w:hyperlink>
    </w:p>
    <w:p>
      <w:pPr>
        <w:pStyle w:val="Textkrper"/>
      </w:pPr>
      <w:r>
        <w:t xml:space="preserve">Chambers, C. (2017). The seven deadly sins of psychology: A manifesto for reforming the culture of scientific practice. Princeton, NJ: Princeton University Press.</w:t>
      </w:r>
    </w:p>
    <w:p>
      <w:pPr>
        <w:pStyle w:val="Textkrper"/>
      </w:pPr>
      <w:r>
        <w:t xml:space="preserve">Clarke, Mary. 2015. The Digital Dilemma: Preservation and the Digital. Archaeological Record. Advances in Archaeological Practice. 3(4): 313-330.</w:t>
      </w:r>
    </w:p>
    <w:p>
      <w:pPr>
        <w:pStyle w:val="Textkrper"/>
      </w:pPr>
      <w:r>
        <w:t xml:space="preserve">Daston, Lorraine, Galison Peter. (1992) The Image of Objectivity. Representations. 40:81–128.</w:t>
      </w:r>
    </w:p>
    <w:p>
      <w:pPr>
        <w:pStyle w:val="Textkrper"/>
      </w:pPr>
      <w:r>
        <w:t xml:space="preserve">Dorch, B. F., Drachen, T. M., &amp; Ellegaard, O. (2015). The data sharing advantage in astrophysics. Proceedings of the International Astronomical Union, 11(A29A), 172-175.</w:t>
      </w:r>
    </w:p>
    <w:p>
      <w:pPr>
        <w:pStyle w:val="Textkrper"/>
      </w:pPr>
      <w:r>
        <w:t xml:space="preserve">Duke, C. S., &amp; Porter, J. H. (2013). The Ethics of Data Sharing and Reuse in Biology. BioScience, 63(6), 483–489.</w:t>
      </w:r>
      <w:r>
        <w:t xml:space="preserve"> </w:t>
      </w:r>
      <w:hyperlink r:id="rId58">
        <w:r>
          <w:rPr>
            <w:rStyle w:val="Hyperlink"/>
          </w:rPr>
          <w:t xml:space="preserve">https://doi.org/10.1525/bio.2013.63.6.10</w:t>
        </w:r>
      </w:hyperlink>
    </w:p>
    <w:p>
      <w:pPr>
        <w:pStyle w:val="Textkrper"/>
      </w:pPr>
      <w:r>
        <w:t xml:space="preserve">Editors, (2013). Guide for Authors. Journal of Archaeological Science. Retrieved September 7, 2017, from</w:t>
      </w:r>
      <w:r>
        <w:t xml:space="preserve"> </w:t>
      </w:r>
      <w:hyperlink r:id="rId59">
        <w:r>
          <w:rPr>
            <w:rStyle w:val="Hyperlink"/>
          </w:rPr>
          <w:t xml:space="preserve">https://web.archive.org/web/20130125222940/https://www.elsevier.com/journals/journal-of-archaeological-science/0305-4403/guide-for-authors</w:t>
        </w:r>
      </w:hyperlink>
    </w:p>
    <w:p>
      <w:pPr>
        <w:pStyle w:val="Textkrper"/>
      </w:pPr>
      <w:r>
        <w:t xml:space="preserve">Ellison, L. A. (2012). Just 20 days left!! Upload your archaeological information FREE to tDAR!! | The Digital Archaeological Record. Retrieved September 7, 2017, from</w:t>
      </w:r>
      <w:r>
        <w:t xml:space="preserve"> </w:t>
      </w:r>
      <w:hyperlink r:id="rId60">
        <w:r>
          <w:rPr>
            <w:rStyle w:val="Hyperlink"/>
          </w:rPr>
          <w:t xml:space="preserve">https://www.tdar.org/news/2012/12/just-20-days-left-upload-your-archaeological-information-free-to-tdar/</w:t>
        </w:r>
      </w:hyperlink>
    </w:p>
    <w:p>
      <w:pPr>
        <w:pStyle w:val="Textkrper"/>
      </w:pPr>
      <w:r>
        <w:t xml:space="preserve">Eglen, S. J., Marwick, B., Halchenko, Y. O., Hanke, M., Sufi, S., Gleeson, P., Poline, J.-B. (2017). Toward standard practices for sharing computer code and programs in neuroscience. Nature Neuroscience, 20(6), 770–773.</w:t>
      </w:r>
      <w:r>
        <w:t xml:space="preserve"> </w:t>
      </w:r>
      <w:hyperlink r:id="rId61">
        <w:r>
          <w:rPr>
            <w:rStyle w:val="Hyperlink"/>
          </w:rPr>
          <w:t xml:space="preserve">https://doi.org/10.1038/nn.4550</w:t>
        </w:r>
      </w:hyperlink>
    </w:p>
    <w:p>
      <w:pPr>
        <w:pStyle w:val="Textkrper"/>
      </w:pPr>
      <w:r>
        <w:t xml:space="preserve">Fienberg, S. E., Martin, M. E., &amp; Straf, M. L. (1985). Sharing research data. National Academy Press, Washington DC.</w:t>
      </w:r>
    </w:p>
    <w:p>
      <w:pPr>
        <w:pStyle w:val="Textkrper"/>
      </w:pPr>
      <w:r>
        <w:t xml:space="preserve">Giofrè, D., Cumming, G., Fresc, L., Boedker, I., &amp; Tressoldi, P. (2017). The influence of journal submission guidelines on authors’ reporting of statistics and use of open research practices. PLoS ONE, 12(4).</w:t>
      </w:r>
      <w:r>
        <w:t xml:space="preserve"> </w:t>
      </w:r>
      <w:hyperlink r:id="rId62">
        <w:r>
          <w:rPr>
            <w:rStyle w:val="Hyperlink"/>
          </w:rPr>
          <w:t xml:space="preserve">https://doi.org/10.1371/journal.pone.0175583</w:t>
        </w:r>
      </w:hyperlink>
    </w:p>
    <w:p>
      <w:pPr>
        <w:pStyle w:val="Textkrper"/>
      </w:pPr>
      <w:r>
        <w:t xml:space="preserve">Gleditsch, N. P., Metelits, C., &amp; Strand, H. (2003). Posting your data: will you be scooped or will you be famous. International Studies Perspectives, 4(1), 89-97.</w:t>
      </w:r>
    </w:p>
    <w:p>
      <w:pPr>
        <w:pStyle w:val="Textkrper"/>
      </w:pPr>
      <w:r>
        <w:t xml:space="preserve">Hagstrom, W O (1982). Gift Giving as an Organising Principle in Science In: Barnes, B and Edge, D eds. Science in Context: Readings in the Sociology of Science. Milton Keynes, United Kingdom: The Open University Press, pp. 21–34.</w:t>
      </w:r>
    </w:p>
    <w:p>
      <w:pPr>
        <w:pStyle w:val="Textkrper"/>
      </w:pPr>
      <w:r>
        <w:t xml:space="preserve">Hart, E. M., Barmby, P., LeBauer, D., Michonneau, F., Mount, S., Mulrooney, P., Hollister, J. W. (2016). Ten Simple Rules for Digital Data Storage. PLOS Computational Biology, 12(10), e1005097.</w:t>
      </w:r>
      <w:r>
        <w:t xml:space="preserve"> </w:t>
      </w:r>
      <w:hyperlink r:id="rId63">
        <w:r>
          <w:rPr>
            <w:rStyle w:val="Hyperlink"/>
          </w:rPr>
          <w:t xml:space="preserve">https://doi.org/10.1371/journal.pcbi.1005097</w:t>
        </w:r>
      </w:hyperlink>
    </w:p>
    <w:p>
      <w:pPr>
        <w:pStyle w:val="Textkrper"/>
      </w:pPr>
      <w:r>
        <w:t xml:space="preserve">Henneken, E. A., &amp; Accomazzi, A. (2011). Linking to data-effect on citation rates in astronomy. arXiv preprint, arXiv:1111.3618.</w:t>
      </w:r>
    </w:p>
    <w:p>
      <w:pPr>
        <w:pStyle w:val="Textkrper"/>
      </w:pPr>
      <w:r>
        <w:t xml:space="preserve">Huggett, J. (2017, May 23). Citing Data Reuse. Retrieved September 7, 2017, from</w:t>
      </w:r>
      <w:r>
        <w:t xml:space="preserve"> </w:t>
      </w:r>
      <w:hyperlink r:id="rId64">
        <w:r>
          <w:rPr>
            <w:rStyle w:val="Hyperlink"/>
          </w:rPr>
          <w:t xml:space="preserve">https://introspectivedigitalarchaeology.wordpress.com/2017/05/23/citing-data-reuse/</w:t>
        </w:r>
      </w:hyperlink>
    </w:p>
    <w:p>
      <w:pPr>
        <w:pStyle w:val="Textkrper"/>
      </w:pPr>
      <w:r>
        <w:t xml:space="preserve">Hymes, D. (1972). 1974. Reinventing anthropology. New York: Pantheon</w:t>
      </w:r>
    </w:p>
    <w:p>
      <w:pPr>
        <w:pStyle w:val="Textkrper"/>
      </w:pPr>
      <w:r>
        <w:t xml:space="preserve">Inter-university Consortium for Political and Social Research (ICPSR). (2012). Guide to Social Science Data Preparation and Archiving: Best Practice Throughout the Data Life Cycle (5th ed.). Ann Arbor, MI</w:t>
      </w:r>
    </w:p>
    <w:p>
      <w:pPr>
        <w:pStyle w:val="Textkrper"/>
      </w:pPr>
      <w:r>
        <w:t xml:space="preserve">Kidwell, M. C., Lazarević, L. B., Baranski, E., Hardwicke, T. E., Piechowski, S., Falkenberg, L. S., &amp; Errington, T. M. (2016). Badges to acknowledge open practices: A simple, low-cost, effective method for increasing transparency. PLoS Biol, 14(5), e1002456.</w:t>
      </w:r>
    </w:p>
    <w:p>
      <w:pPr>
        <w:pStyle w:val="Textkrper"/>
      </w:pPr>
      <w:r>
        <w:t xml:space="preserve">Keers, G., van der Reijden, H., and van Rossum, H. 2011. Planning Archaeology: A Synthesis of the Thematic Sub-reports. Amsterdam: Rigo.</w:t>
      </w:r>
    </w:p>
    <w:p>
      <w:pPr>
        <w:pStyle w:val="Textkrper"/>
      </w:pPr>
      <w:r>
        <w:t xml:space="preserve">Kratz JE, Strasser C (2015) Researcher Perspectives on Publication and Peer Review of Data. PLOS ONE 10(2): e0117619. doi: 10.1371/journal.pone.0117619</w:t>
      </w:r>
    </w:p>
    <w:p>
      <w:pPr>
        <w:pStyle w:val="Textkrper"/>
      </w:pPr>
      <w:r>
        <w:t xml:space="preserve">Kratz J and Strasser C. Data publication consensus and controversies [version 1; referees: 1 approved with reservations]. F1000Research 2014, 3:94</w:t>
      </w:r>
      <w:r>
        <w:t xml:space="preserve"> </w:t>
      </w:r>
      <w:r>
        <w:t xml:space="preserve">(doi: 10.12688/f1000research.3979.1)</w:t>
      </w:r>
    </w:p>
    <w:p>
      <w:pPr>
        <w:pStyle w:val="Textkrper"/>
      </w:pPr>
      <w:r>
        <w:t xml:space="preserve">Kyzas PA, Loizou KT, and Ioannidis JP. (2005) Selective reporting biases in cancer prognostic factor studies. Journal of the National Cancer Institute 97, 1043-1055.</w:t>
      </w:r>
    </w:p>
    <w:p>
      <w:pPr>
        <w:pStyle w:val="Textkrper"/>
      </w:pPr>
      <w:r>
        <w:t xml:space="preserve">Leonelli, S. (2016). The philosophy of data, In Floridi, L. (Ed.) The Routledge Handbook of Philosophy of Information. Routledge, NY.</w:t>
      </w:r>
    </w:p>
    <w:p>
      <w:pPr>
        <w:pStyle w:val="Textkrper"/>
      </w:pPr>
      <w:r>
        <w:t xml:space="preserve">Marwick, B. (2017). Computational reproducibility in archaeological research: Basic principles and a case study of their implementation. Journal of Archaeological Method and Theory, 24(2), 424-450.</w:t>
      </w:r>
    </w:p>
    <w:p>
      <w:pPr>
        <w:pStyle w:val="Textkrper"/>
      </w:pPr>
      <w:r>
        <w:t xml:space="preserve">McCullough BD, McGeary KA, Harrison TD. (2006) Lessons from the JMCB Archive. Journal of Money, Credit, and Banking 38(4), 1093-1107.</w:t>
      </w:r>
      <w:r>
        <w:t xml:space="preserve"> </w:t>
      </w:r>
      <w:hyperlink r:id="rId65">
        <w:r>
          <w:rPr>
            <w:rStyle w:val="Hyperlink"/>
          </w:rPr>
          <w:t xml:space="preserve">doi:10.1353/mcb.2006.0061</w:t>
        </w:r>
      </w:hyperlink>
    </w:p>
    <w:p>
      <w:pPr>
        <w:pStyle w:val="Textkrper"/>
      </w:pPr>
      <w:r>
        <w:t xml:space="preserve">McCullough BD and Vinod HD. (2005) Comment: Econometrics and Software. Journal of Economic Perspectives 17(1), 223-224.</w:t>
      </w:r>
    </w:p>
    <w:p>
      <w:pPr>
        <w:pStyle w:val="Textkrper"/>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66">
        <w:r>
          <w:rPr>
            <w:rStyle w:val="Hyperlink"/>
          </w:rPr>
          <w:t xml:space="preserve">https://doi.org/10.1371/journal.pbio.2001414</w:t>
        </w:r>
      </w:hyperlink>
    </w:p>
    <w:p>
      <w:pPr>
        <w:pStyle w:val="Textkrper"/>
      </w:pPr>
      <w:r>
        <w:t xml:space="preserve">Merton, R.K. (1942) "The Normative Structure of Science". In: Merton, R. K., The Sociology of Science: Theoretical and Empirical Investigations, Chicago, IL: University Of Chicago Press.</w:t>
      </w:r>
    </w:p>
    <w:p>
      <w:pPr>
        <w:pStyle w:val="Textkrper"/>
      </w:pPr>
      <w:r>
        <w:t xml:space="preserve">Moore, R., &amp; Richards, J. (2015). Here Today, Gone Tomorrow: Open Access, Open Data and Digital Preservation. In Andrew T. Wilson, Ben Edwards (eds) Open Source Archaeology: Ethics and Practice. De Gruyter, Netherlands</w:t>
      </w:r>
    </w:p>
    <w:p>
      <w:pPr>
        <w:pStyle w:val="Textkrper"/>
      </w:pPr>
      <w:r>
        <w:t xml:space="preserve">Nicholas, G. (2014). Indigenous cultural heritage in the age of technological reproducibility: Towards a postcolonial ethic of the public domain. In Coombe, R. J., Wershler, D., &amp; Zeilinger, M. (Eds.) Dynamic fair dealing: creating Canadian culture online. University of Toronto Press. pp. 213-24.</w:t>
      </w:r>
    </w:p>
    <w:p>
      <w:pPr>
        <w:pStyle w:val="Textkrper"/>
      </w:pPr>
      <w:r>
        <w:t xml:space="preserve">Nichols, D.M., Twidale, M.B., (2017). Metrics for openness, Journal of the Association for Information Science and Technology 68, 1048-1060.</w:t>
      </w:r>
    </w:p>
    <w:p>
      <w:pPr>
        <w:pStyle w:val="Textkrper"/>
      </w:pPr>
      <w:r>
        <w:t xml:space="preserve">Nicholas, G. P., &amp; Wylie, A. (2012). Do Not Do Unto Others…’: Cultural misrecognition and the harms of appropriation in an open-source world. Appropriating the Past: Philosophical Perspectives on Archaeological Practice, 195-221.</w:t>
      </w:r>
    </w:p>
    <w:p>
      <w:pPr>
        <w:pStyle w:val="Textkrper"/>
      </w:pPr>
      <w:r>
        <w:t xml:space="preserve">Nicholas, G. P., &amp; Wylie, A. (2009). Archaeological finds: legacies of appropriation, modes of response. The Ethics of Cultural Appropriation, 11-54.</w:t>
      </w:r>
    </w:p>
    <w:p>
      <w:pPr>
        <w:pStyle w:val="Textkrper"/>
      </w:pPr>
      <w:r>
        <w:t xml:space="preserve">Nosek, B. A., Alter, G., Banks, G. C., Borsboom, D., Bowman, S. D., Breckler, S. J., Yarkoni, T. (2015). Promoting an open research culture: Author guidelines for journals could help to promote transparency, openness, and reproducibility. Science, 348, 1422–5.</w:t>
      </w:r>
    </w:p>
    <w:p>
      <w:pPr>
        <w:pStyle w:val="Textkrper"/>
      </w:pPr>
      <w:r>
        <w:t xml:space="preserve">Nuijten, M. B., Borghuis, J., Veldkamp, C. L. S., Alvarez, L. D., van Assen, M. A. L. M., &amp; Wicherts, J. M. (2017, July 13). Journal Data Sharing Policies and Statistical Reporting Inconsistencies in Psychology. Retrieved September 7, 2017, from psyarxiv.com/sgbta</w:t>
      </w:r>
    </w:p>
    <w:p>
      <w:pPr>
        <w:pStyle w:val="Textkrper"/>
      </w:pPr>
      <w:r>
        <w:t xml:space="preserve">National Science Board. (2005). Long-lived digital data collections. Retrieved September 7, 2017, from</w:t>
      </w:r>
      <w:r>
        <w:t xml:space="preserve"> </w:t>
      </w:r>
      <w:hyperlink r:id="rId67">
        <w:r>
          <w:rPr>
            <w:rStyle w:val="Hyperlink"/>
          </w:rPr>
          <w:t xml:space="preserve">http://www.nsf.gov/pubs/2005/nsb0540/</w:t>
        </w:r>
      </w:hyperlink>
    </w:p>
    <w:p>
      <w:pPr>
        <w:pStyle w:val="Textkrper"/>
      </w:pPr>
      <w:r>
        <w:t xml:space="preserve">National Science Foundation. (2010). Data Management &amp; Sharing Frequently Asked Questions (FAQs). Retrieved September 7, 2017, from</w:t>
      </w:r>
      <w:r>
        <w:t xml:space="preserve"> </w:t>
      </w:r>
      <w:hyperlink r:id="rId68">
        <w:r>
          <w:rPr>
            <w:rStyle w:val="Hyperlink"/>
          </w:rPr>
          <w:t xml:space="preserve">https://www.nsf.gov/bfa/dias/policy/dmpfaqs.jsp#1</w:t>
        </w:r>
      </w:hyperlink>
    </w:p>
    <w:p>
      <w:pPr>
        <w:pStyle w:val="Textkrper"/>
      </w:pPr>
      <w:r>
        <w:t xml:space="preserve">National Science Foundation. (2016). Dissemination and Sharing of Research Results. Retrieved September 7, 2017, from</w:t>
      </w:r>
      <w:r>
        <w:t xml:space="preserve"> </w:t>
      </w:r>
      <w:hyperlink r:id="rId69">
        <w:r>
          <w:rPr>
            <w:rStyle w:val="Hyperlink"/>
          </w:rPr>
          <w:t xml:space="preserve">https://www.nsf.gov/bfa/dias/policy/dmp.jsp</w:t>
        </w:r>
      </w:hyperlink>
    </w:p>
    <w:p>
      <w:pPr>
        <w:pStyle w:val="Textkrper"/>
      </w:pPr>
      <w:r>
        <w:t xml:space="preserve">Pampel, H., Vierkant, P., Scholze, F., Bertelmann, R., Kindling, M., Klump, J. &amp; Dierolf, U. (2013). Making research data repositories visible: The re3data.org registry. PloS one, 8(11), e78080.</w:t>
      </w:r>
    </w:p>
    <w:p>
      <w:pPr>
        <w:pStyle w:val="Textkrper"/>
      </w:pPr>
      <w:r>
        <w:t xml:space="preserve">Peng RD, Dominici F, and Zeger SL. (2006) Reproducible Epidemiological Research. American Journal of Epidemology 163, 783-789 doi: 10.1093/aje/kwj093</w:t>
      </w:r>
    </w:p>
    <w:p>
      <w:pPr>
        <w:pStyle w:val="Textkrper"/>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70">
        <w:r>
          <w:rPr>
            <w:rStyle w:val="Hyperlink"/>
          </w:rPr>
          <w:t xml:space="preserve">https://doi.org/10.3897/rio.3.e12431</w:t>
        </w:r>
      </w:hyperlink>
    </w:p>
    <w:p>
      <w:pPr>
        <w:pStyle w:val="Textkrper"/>
      </w:pPr>
      <w:r>
        <w:t xml:space="preserve">Piwowar HA, Day RS, Fridsma DB (2007) Sharing Detailed Research Data Is Associated with Increased Citation Rate. PLOS ONE 2(3): e308.</w:t>
      </w:r>
      <w:r>
        <w:t xml:space="preserve"> </w:t>
      </w:r>
      <w:hyperlink r:id="rId71">
        <w:r>
          <w:rPr>
            <w:rStyle w:val="Hyperlink"/>
          </w:rPr>
          <w:t xml:space="preserve">https://doi.org/10.1371/journal.pone.0000308</w:t>
        </w:r>
      </w:hyperlink>
    </w:p>
    <w:p>
      <w:pPr>
        <w:pStyle w:val="Textkrper"/>
      </w:pPr>
      <w:r>
        <w:t xml:space="preserve">Piwowar, H. A., &amp; Vision, T. J. (2013). Data reuse and the open data citation advantage. PeerJ, 1, e175.</w:t>
      </w:r>
      <w:r>
        <w:t xml:space="preserve"> </w:t>
      </w:r>
      <w:hyperlink r:id="rId72">
        <w:r>
          <w:rPr>
            <w:rStyle w:val="Hyperlink"/>
          </w:rPr>
          <w:t xml:space="preserve">https://doi.org/10.7717/peerj.175</w:t>
        </w:r>
      </w:hyperlink>
    </w:p>
    <w:p>
      <w:pPr>
        <w:pStyle w:val="Textkrper"/>
      </w:pPr>
      <w:r>
        <w:t xml:space="preserve">PLoS Medicine Editorial and Publishing Policies. 13. Sharing of Materials, Methods and Data. PLoS Medicine Editorial and Publishing Policies. Retrieved September 7, 2017, from</w:t>
      </w:r>
      <w:r>
        <w:t xml:space="preserve"> </w:t>
      </w:r>
      <w:hyperlink r:id="rId73">
        <w:r>
          <w:rPr>
            <w:rStyle w:val="Hyperlink"/>
          </w:rPr>
          <w:t xml:space="preserve">http://journals.plos.org/plosmedicine/policies.php#sharing</w:t>
        </w:r>
      </w:hyperlink>
      <w:r>
        <w:t xml:space="preserve">.</w:t>
      </w:r>
    </w:p>
    <w:p>
      <w:pPr>
        <w:pStyle w:val="Textkrper"/>
      </w:pPr>
      <w:r>
        <w:t xml:space="preserve">Reichman, J. H., &amp; Uhlir, P. F. (2003). A contractually reconstructed research commons for scientific data in a highly protectionist intellectual property environment. Law and Contemporary problems, 66(1/2), 315-462.</w:t>
      </w:r>
    </w:p>
    <w:p>
      <w:pPr>
        <w:pStyle w:val="Textkrper"/>
      </w:pPr>
      <w:r>
        <w:t xml:space="preserve">Reidpath DD, and Allotey PA. Data Sharing in Medical Research: An Empirical Investigation. Bioethics 15(2), 125- 134 (2002). doi: 10.1111/1467-8519.00220</w:t>
      </w:r>
    </w:p>
    <w:p>
      <w:pPr>
        <w:pStyle w:val="Textkrper"/>
      </w:pPr>
      <w:r>
        <w:t xml:space="preserve">Rowhani-Farid, A., Allen, M., &amp; Barnett, A. G. (2017). What incentives increase data sharing in health and medical research? A systematic review. Research Integrity and Peer Review, 2(1), 4.</w:t>
      </w:r>
      <w:r>
        <w:t xml:space="preserve"> </w:t>
      </w:r>
      <w:hyperlink r:id="rId74">
        <w:r>
          <w:rPr>
            <w:rStyle w:val="Hyperlink"/>
          </w:rPr>
          <w:t xml:space="preserve">https://doi.org/10.1186/s41073-017-0028-9</w:t>
        </w:r>
      </w:hyperlink>
    </w:p>
    <w:p>
      <w:pPr>
        <w:pStyle w:val="Textkrper"/>
      </w:pPr>
      <w:r>
        <w:t xml:space="preserve">Savage CJ, Vickers AJ (2009) Empirical Study of Data Sharing by Authors Publishing in PLoS Journals. PLoS ONE 4(9): e7078.</w:t>
      </w:r>
      <w:r>
        <w:t xml:space="preserve"> </w:t>
      </w:r>
      <w:hyperlink r:id="rId75">
        <w:r>
          <w:rPr>
            <w:rStyle w:val="Hyperlink"/>
          </w:rPr>
          <w:t xml:space="preserve">doi:10.1371/journal.pone.0007078</w:t>
        </w:r>
      </w:hyperlink>
    </w:p>
    <w:p>
      <w:pPr>
        <w:pStyle w:val="Textkrper"/>
      </w:pPr>
      <w:r>
        <w:t xml:space="preserve">Sawyer, S. (2008). Data wealth, data poverty, science and cyberinfrastructure 1. Prometheus, 26(4), 355-371.</w:t>
      </w:r>
    </w:p>
    <w:p>
      <w:pPr>
        <w:pStyle w:val="Textkrper"/>
      </w:pPr>
      <w:r>
        <w:t xml:space="preserve">Scientific Data Editors (n.d) Recommended Data Repositories. Retrieved September 13, 2017, from</w:t>
      </w:r>
      <w:r>
        <w:t xml:space="preserve"> </w:t>
      </w:r>
      <w:hyperlink r:id="rId76">
        <w:r>
          <w:rPr>
            <w:rStyle w:val="Hyperlink"/>
          </w:rPr>
          <w:t xml:space="preserve">https://www.nature.com/sdata/policies/repositories</w:t>
        </w:r>
      </w:hyperlink>
    </w:p>
    <w:p>
      <w:pPr>
        <w:pStyle w:val="Textkrper"/>
      </w:pPr>
      <w:r>
        <w:t xml:space="preserve">Sears, J.R.L (2011) Data sharing effect on article citation rate in paleoceanography. Presented at Fall Meeting of the American Geophysical Union. Retrieved September 7, 2017, from</w:t>
      </w:r>
      <w:r>
        <w:t xml:space="preserve"> </w:t>
      </w:r>
      <w:hyperlink r:id="rId77">
        <w:r>
          <w:rPr>
            <w:rStyle w:val="Hyperlink"/>
          </w:rPr>
          <w:t xml:space="preserve">https://doi.org/10.6084/M9.FIGSHARE.1222998.V1</w:t>
        </w:r>
      </w:hyperlink>
    </w:p>
    <w:p>
      <w:pPr>
        <w:pStyle w:val="Textkrper"/>
      </w:pPr>
      <w:r>
        <w:t xml:space="preserve">Spencer, Hilary (2010). Thoughts on the sharing of data and research</w:t>
      </w:r>
      <w:r>
        <w:t xml:space="preserve"> </w:t>
      </w:r>
      <w:r>
        <w:t xml:space="preserve">materials and the role of journal policies. Retrieved September 7, 2017, from</w:t>
      </w:r>
      <w:r>
        <w:t xml:space="preserve"> </w:t>
      </w:r>
      <w:hyperlink r:id="rId78">
        <w:r>
          <w:rPr>
            <w:rStyle w:val="Hyperlink"/>
          </w:rPr>
          <w:t xml:space="preserve">https://web.stanford.edu/~vcs/Nov21/hilary_spencer_rdcscsJan2010.pdf</w:t>
        </w:r>
      </w:hyperlink>
    </w:p>
    <w:p>
      <w:pPr>
        <w:pStyle w:val="Textkrper"/>
      </w:pPr>
      <w:r>
        <w:t xml:space="preserve">Strasser, C., Cook, R., Michener, W., &amp; Budden, A. (2012). Primer on Data Management: What you always wanted to know. EScholarship. Retrieved September 7, 2017, from</w:t>
      </w:r>
      <w:r>
        <w:t xml:space="preserve"> </w:t>
      </w:r>
      <w:hyperlink r:id="rId79">
        <w:r>
          <w:rPr>
            <w:rStyle w:val="Hyperlink"/>
          </w:rPr>
          <w:t xml:space="preserve">https://doi.org/10.5060/D2251G48</w:t>
        </w:r>
      </w:hyperlink>
    </w:p>
    <w:p>
      <w:pPr>
        <w:pStyle w:val="Textkrper"/>
      </w:pPr>
      <w:r>
        <w:t xml:space="preserve">Stodden, V. (2009a). The legal framework for reproducible scientific research: Licensing and copyright. Computing in Science &amp; Engineering, 11(1), 35-40.</w:t>
      </w:r>
    </w:p>
    <w:p>
      <w:pPr>
        <w:pStyle w:val="Textkrper"/>
      </w:pPr>
      <w:r>
        <w:t xml:space="preserve">Stodden, V. (2009b) Enabling Reproducible Research: Open Licensing for Scientific Innovation. International Journal of Communications Law and Policy. Retrieved September 7, 2017, from</w:t>
      </w:r>
      <w:r>
        <w:t xml:space="preserve"> </w:t>
      </w:r>
      <w:hyperlink r:id="rId80">
        <w:r>
          <w:rPr>
            <w:rStyle w:val="Hyperlink"/>
          </w:rPr>
          <w:t xml:space="preserve">https://ssrn.com/abstract=1362040</w:t>
        </w:r>
      </w:hyperlink>
    </w:p>
    <w:p>
      <w:pPr>
        <w:pStyle w:val="Textkrper"/>
      </w:pPr>
      <w:r>
        <w:t xml:space="preserve">Stodden, V. 2010, The Scientific Method in Practice: Reproducibility in the Computational Sciences, Columbia University Academic Commons, Retrieved September 7, 2017, from</w:t>
      </w:r>
      <w:r>
        <w:t xml:space="preserve"> </w:t>
      </w:r>
      <w:hyperlink r:id="rId81">
        <w:r>
          <w:rPr>
            <w:rStyle w:val="Hyperlink"/>
          </w:rPr>
          <w:t xml:space="preserve">http://hdl.handle.net/10022/AC:P:11417</w:t>
        </w:r>
      </w:hyperlink>
      <w:r>
        <w:t xml:space="preserve">.</w:t>
      </w:r>
    </w:p>
    <w:p>
      <w:pPr>
        <w:pStyle w:val="Textkrper"/>
      </w:pPr>
      <w:r>
        <w:t xml:space="preserve">Tenopir, C., Dalton, E. D., Allard, S., Frame, M., Pjesivac, I., Birch, B., … Dorsett, K. (2015). Changes in Data Sharing and Data Reuse Practices and Perceptions among Scientists Worldwide. PLOS ONE, 10(8), e0134826.</w:t>
      </w:r>
      <w:r>
        <w:t xml:space="preserve"> </w:t>
      </w:r>
      <w:hyperlink r:id="rId82">
        <w:r>
          <w:rPr>
            <w:rStyle w:val="Hyperlink"/>
          </w:rPr>
          <w:t xml:space="preserve">https://doi.org/10.1371/journal.pone.0134826</w:t>
        </w:r>
      </w:hyperlink>
    </w:p>
    <w:p>
      <w:pPr>
        <w:pStyle w:val="Textkrper"/>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83">
        <w:r>
          <w:rPr>
            <w:rStyle w:val="Hyperlink"/>
          </w:rPr>
          <w:t xml:space="preserve">https://doi.org/10.1111/j.1748-720X.2007.00163.x</w:t>
        </w:r>
      </w:hyperlink>
    </w:p>
    <w:p>
      <w:pPr>
        <w:pStyle w:val="Textkrper"/>
      </w:pPr>
      <w:r>
        <w:t xml:space="preserve">Uhlir, P.F., &amp; Cohen, D. (2011). Internal document. Board on Research Data and Information, Policy and Global Affairs Division, National Academy of Sciences. 18 March 2011.</w:t>
      </w:r>
    </w:p>
    <w:p>
      <w:pPr>
        <w:pStyle w:val="Textkrper"/>
      </w:pPr>
      <w:r>
        <w:t xml:space="preserve">UK Archaeology Data Service. (n.d.). Guides to Good Practice: Main. Retrieved September 7, 2017, from</w:t>
      </w:r>
      <w:r>
        <w:t xml:space="preserve"> </w:t>
      </w:r>
      <w:hyperlink r:id="rId84">
        <w:r>
          <w:rPr>
            <w:rStyle w:val="Hyperlink"/>
          </w:rPr>
          <w:t xml:space="preserve">http://guides.archaeologydataservice.ac.uk/</w:t>
        </w:r>
      </w:hyperlink>
    </w:p>
    <w:p>
      <w:pPr>
        <w:pStyle w:val="Textkrper"/>
      </w:pPr>
      <w:r>
        <w:t xml:space="preserve">Vanpaemel, W., Vermorgen, M., Deriemaecker, L., &amp; Storms, G. (2015). Are We Wasting a Good Crisis? The Availability of Psychological Research Data after the Storm. Collabra, 1(1), Art. 3. DOI:</w:t>
      </w:r>
      <w:r>
        <w:t xml:space="preserve"> </w:t>
      </w:r>
      <w:hyperlink r:id="rId85">
        <w:r>
          <w:rPr>
            <w:rStyle w:val="Hyperlink"/>
          </w:rPr>
          <w:t xml:space="preserve">http://doi.org/10.1525/collabra.13</w:t>
        </w:r>
      </w:hyperlink>
    </w:p>
    <w:p>
      <w:pPr>
        <w:pStyle w:val="Textkrper"/>
      </w:pPr>
      <w:r>
        <w:t xml:space="preserve">Vines, Timothy H, et al. 2014 The Availability of Research Data Declines Rapidly with Article Age. Current Biology 24(1):94-97.</w:t>
      </w:r>
    </w:p>
    <w:p>
      <w:pPr>
        <w:pStyle w:val="Textkrper"/>
      </w:pPr>
      <w:r>
        <w:t xml:space="preserve">Vitelli, K. D., &amp; Colwell-Chanthaphonh, J. S. (Eds.). (2006). Archaeological ethics. Rowman Altamira.</w:t>
      </w:r>
    </w:p>
    <w:p>
      <w:pPr>
        <w:pStyle w:val="Textkrper"/>
      </w:pPr>
      <w:r>
        <w:t xml:space="preserve">Wallis, J. C., Rolando, E., &amp; Borgman, C. L. (2013). If We Share Data, Will Anyone Use Them? Data Sharing and Reuse in the Long Tail of Science and Technology. PLoS ONE, 8(7), e67332.</w:t>
      </w:r>
      <w:r>
        <w:t xml:space="preserve"> </w:t>
      </w:r>
      <w:hyperlink r:id="rId86">
        <w:r>
          <w:rPr>
            <w:rStyle w:val="Hyperlink"/>
          </w:rPr>
          <w:t xml:space="preserve">doi:10.1371/journal.pone.0067332</w:t>
        </w:r>
      </w:hyperlink>
    </w:p>
    <w:p>
      <w:pPr>
        <w:pStyle w:val="Textkrper"/>
      </w:pPr>
      <w:r>
        <w:t xml:space="preserve">White E, Baldridge E, Brym Z, Locey K, McGlinn D, Supp S. (2013) Nine simple ways to make it easier to (re)use your data. Ideas in Ecology and Evolution. 2013;6: 1–10. doi: 10.4033/iee.2013.6b.6.f.</w:t>
      </w:r>
    </w:p>
    <w:p>
      <w:pPr>
        <w:pStyle w:val="Textkrper"/>
      </w:pPr>
      <w:r>
        <w:t xml:space="preserve">Wicherts, J. M., Borsboom, D., Kats, J., &amp; Molenaar, D. (2006). The poor availability of psychological research data for reanalysis. American Psychologist, 61(7), 726.</w:t>
      </w:r>
    </w:p>
    <w:p>
      <w:pPr>
        <w:pStyle w:val="Textkrper"/>
      </w:pPr>
      <w:r>
        <w:t xml:space="preserve">Wilkinson, M. D., Dumontier, M., Aalbersberg, Ij. J., Appleton, G., Axton, M., Baak, A., Bourne, P. E. (2016). The FAIR Guiding Principles for scientific data management and stewardship. Scientific Data, 3, 160018.</w:t>
      </w:r>
      <w:r>
        <w:t xml:space="preserve"> </w:t>
      </w:r>
      <w:hyperlink r:id="rId87">
        <w:r>
          <w:rPr>
            <w:rStyle w:val="Hyperlink"/>
          </w:rPr>
          <w:t xml:space="preserve">https://doi.org/10.1038/sdata.2016.18</w:t>
        </w:r>
      </w:hyperlink>
    </w:p>
    <w:p>
      <w:pPr>
        <w:pStyle w:val="Textkrper"/>
      </w:pPr>
      <w:r>
        <w:t xml:space="preserve">Womack RP (2015) Research Data in Core Journals in Biology, Chemistry, Mathematics, and Physics. PLOS ONE 10(12): e0143460. doi: 10.1371/journal.pone.0143460</w:t>
      </w:r>
    </w:p>
    <w:p>
      <w:pPr>
        <w:pStyle w:val="Textkrper"/>
      </w:pPr>
      <w:r>
        <w:t xml:space="preserve">Zimmerman, L. J., Vitelli, K. D., &amp; Hollowell-Zimmer, J. (Eds.). (2003). Ethical issues in archaeology. Rowman Altamira.</w:t>
      </w:r>
    </w:p>
    <w:p>
      <w:pPr>
        <w:pStyle w:val="Heading3"/>
      </w:pPr>
      <w:bookmarkStart w:id="88" w:name="colophon"/>
      <w:bookmarkEnd w:id="88"/>
      <w:r>
        <w:t xml:space="preserve">Colophon</w:t>
      </w:r>
    </w:p>
    <w:p>
      <w:pPr>
        <w:pStyle w:val="FirstParagraph"/>
      </w:pPr>
      <w:r>
        <w:t xml:space="preserve">This document contains 15,684 words and was generated on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2017-09-16                  </w:t>
      </w:r>
      <w:r>
        <w:br w:type="textWrapping"/>
      </w:r>
      <w:r>
        <w:rPr>
          <w:rStyle w:val="VerbatimChar"/>
        </w:rPr>
        <w:t xml:space="preserve">#&gt; </w:t>
      </w:r>
      <w:r>
        <w:br w:type="textWrapping"/>
      </w:r>
      <w:r>
        <w:rPr>
          <w:rStyle w:val="VerbatimChar"/>
        </w:rPr>
        <w:t xml:space="preserve">#&gt;  package        * version    date      </w:t>
      </w:r>
      <w:r>
        <w:br w:type="textWrapping"/>
      </w:r>
      <w:r>
        <w:rPr>
          <w:rStyle w:val="VerbatimChar"/>
        </w:rPr>
        <w:t xml:space="preserve">#&gt;  assertthat       0.2.0      2017-04-11</w:t>
      </w:r>
      <w:r>
        <w:br w:type="textWrapping"/>
      </w:r>
      <w:r>
        <w:rPr>
          <w:rStyle w:val="VerbatimChar"/>
        </w:rPr>
        <w:t xml:space="preserve">#&gt;  backports        1.1.0      2017-05-22</w:t>
      </w:r>
      <w:r>
        <w:br w:type="textWrapping"/>
      </w:r>
      <w:r>
        <w:rPr>
          <w:rStyle w:val="VerbatimChar"/>
        </w:rPr>
        <w:t xml:space="preserve">#&gt;  base           * 3.4.1      2017-06-30</w:t>
      </w:r>
      <w:r>
        <w:br w:type="textWrapping"/>
      </w:r>
      <w:r>
        <w:rPr>
          <w:rStyle w:val="VerbatimChar"/>
        </w:rPr>
        <w:t xml:space="preserve">#&gt;  bindr            0.1        2016-11-13</w:t>
      </w:r>
      <w:r>
        <w:br w:type="textWrapping"/>
      </w:r>
      <w:r>
        <w:rPr>
          <w:rStyle w:val="VerbatimChar"/>
        </w:rPr>
        <w:t xml:space="preserve">#&gt;  bindrcpp       * 0.2        2017-06-17</w:t>
      </w:r>
      <w:r>
        <w:br w:type="textWrapping"/>
      </w:r>
      <w:r>
        <w:rPr>
          <w:rStyle w:val="VerbatimChar"/>
        </w:rPr>
        <w:t xml:space="preserve">#&gt;  bookdown         0.5        2017-08-20</w:t>
      </w:r>
      <w:r>
        <w:br w:type="textWrapping"/>
      </w:r>
      <w:r>
        <w:rPr>
          <w:rStyle w:val="VerbatimChar"/>
        </w:rPr>
        <w:t xml:space="preserve">#&gt;  broom            0.4.2      2017-02-13</w:t>
      </w:r>
      <w:r>
        <w:br w:type="textWrapping"/>
      </w:r>
      <w:r>
        <w:rPr>
          <w:rStyle w:val="VerbatimChar"/>
        </w:rPr>
        <w:t xml:space="preserve">#&gt;  cellranger       1.1.0.9000 2017-05-31</w:t>
      </w:r>
      <w:r>
        <w:br w:type="textWrapping"/>
      </w:r>
      <w:r>
        <w:rPr>
          <w:rStyle w:val="VerbatimChar"/>
        </w:rPr>
        <w:t xml:space="preserve">#&gt;  changepoint    * 2.2.2      2016-10-04</w:t>
      </w:r>
      <w:r>
        <w:br w:type="textWrapping"/>
      </w:r>
      <w:r>
        <w:rPr>
          <w:rStyle w:val="VerbatimChar"/>
        </w:rPr>
        <w:t xml:space="preserve">#&gt;  colorspace       1.3-2      2016-12-14</w:t>
      </w:r>
      <w:r>
        <w:br w:type="textWrapping"/>
      </w:r>
      <w:r>
        <w:rPr>
          <w:rStyle w:val="VerbatimChar"/>
        </w:rPr>
        <w:t xml:space="preserve">#&gt;  compiler         3.4.1      2017-06-30</w:t>
      </w:r>
      <w:r>
        <w:br w:type="textWrapping"/>
      </w:r>
      <w:r>
        <w:rPr>
          <w:rStyle w:val="VerbatimChar"/>
        </w:rPr>
        <w:t xml:space="preserve">#&gt;  cowplot        * 0.8.0      2017-07-30</w:t>
      </w:r>
      <w:r>
        <w:br w:type="textWrapping"/>
      </w:r>
      <w:r>
        <w:rPr>
          <w:rStyle w:val="VerbatimChar"/>
        </w:rPr>
        <w:t xml:space="preserve">#&gt;  data.table       1.10.4     2017-02-01</w:t>
      </w:r>
      <w:r>
        <w:br w:type="textWrapping"/>
      </w:r>
      <w:r>
        <w:rPr>
          <w:rStyle w:val="VerbatimChar"/>
        </w:rPr>
        <w:t xml:space="preserve">#&gt;  datacitation   * 0.0.0.9000 2017-09-13</w:t>
      </w:r>
      <w:r>
        <w:br w:type="textWrapping"/>
      </w:r>
      <w:r>
        <w:rPr>
          <w:rStyle w:val="VerbatimChar"/>
        </w:rPr>
        <w:t xml:space="preserve">#&gt;  datasets       * 3.4.1      2017-06-30</w:t>
      </w:r>
      <w:r>
        <w:br w:type="textWrapping"/>
      </w:r>
      <w:r>
        <w:rPr>
          <w:rStyle w:val="VerbatimChar"/>
        </w:rPr>
        <w:t xml:space="preserve">#&gt;  devtools         1.13.3     2017-08-02</w:t>
      </w:r>
      <w:r>
        <w:br w:type="textWrapping"/>
      </w:r>
      <w:r>
        <w:rPr>
          <w:rStyle w:val="VerbatimChar"/>
        </w:rPr>
        <w:t xml:space="preserve">#&gt;  digest           0.6.12     2017-01-27</w:t>
      </w:r>
      <w:r>
        <w:br w:type="textWrapping"/>
      </w:r>
      <w:r>
        <w:rPr>
          <w:rStyle w:val="VerbatimChar"/>
        </w:rPr>
        <w:t xml:space="preserve">#&gt;  dplyr          * 0.7.3      2017-09-07</w:t>
      </w:r>
      <w:r>
        <w:br w:type="textWrapping"/>
      </w:r>
      <w:r>
        <w:rPr>
          <w:rStyle w:val="VerbatimChar"/>
        </w:rPr>
        <w:t xml:space="preserve">#&gt;  evaluate         0.10.1     2017-06-24</w:t>
      </w:r>
      <w:r>
        <w:br w:type="textWrapping"/>
      </w:r>
      <w:r>
        <w:rPr>
          <w:rStyle w:val="VerbatimChar"/>
        </w:rPr>
        <w:t xml:space="preserve">#&gt;  forcats          0.2.0      2017-01-23</w:t>
      </w:r>
      <w:r>
        <w:br w:type="textWrapping"/>
      </w:r>
      <w:r>
        <w:rPr>
          <w:rStyle w:val="VerbatimChar"/>
        </w:rPr>
        <w:t xml:space="preserve">#&gt;  foreign          0.8-69     2017-06-21</w:t>
      </w:r>
      <w:r>
        <w:br w:type="textWrapping"/>
      </w:r>
      <w:r>
        <w:rPr>
          <w:rStyle w:val="VerbatimChar"/>
        </w:rPr>
        <w:t xml:space="preserve">#&gt;  ggplot2        * 2.2.1.9000 2017-09-07</w:t>
      </w:r>
      <w:r>
        <w:br w:type="textWrapping"/>
      </w:r>
      <w:r>
        <w:rPr>
          <w:rStyle w:val="VerbatimChar"/>
        </w:rPr>
        <w:t xml:space="preserve">#&gt;  ggrepel        * 0.6.5      2016-11-24</w:t>
      </w:r>
      <w:r>
        <w:br w:type="textWrapping"/>
      </w:r>
      <w:r>
        <w:rPr>
          <w:rStyle w:val="VerbatimChar"/>
        </w:rPr>
        <w:t xml:space="preserve">#&gt;  glue             1.1.1      2017-06-21</w:t>
      </w:r>
      <w:r>
        <w:br w:type="textWrapping"/>
      </w:r>
      <w:r>
        <w:rPr>
          <w:rStyle w:val="VerbatimChar"/>
        </w:rPr>
        <w:t xml:space="preserve">#&gt;  graphics       * 3.4.1      2017-06-30</w:t>
      </w:r>
      <w:r>
        <w:br w:type="textWrapping"/>
      </w:r>
      <w:r>
        <w:rPr>
          <w:rStyle w:val="VerbatimChar"/>
        </w:rPr>
        <w:t xml:space="preserve">#&gt;  grDevices      * 3.4.1      2017-06-30</w:t>
      </w:r>
      <w:r>
        <w:br w:type="textWrapping"/>
      </w:r>
      <w:r>
        <w:rPr>
          <w:rStyle w:val="VerbatimChar"/>
        </w:rPr>
        <w:t xml:space="preserve">#&gt;  grid           * 3.4.1      2017-06-30</w:t>
      </w:r>
      <w:r>
        <w:br w:type="textWrapping"/>
      </w:r>
      <w:r>
        <w:rPr>
          <w:rStyle w:val="VerbatimChar"/>
        </w:rPr>
        <w:t xml:space="preserve">#&gt;  gridExtra      * 2.2.1      2016-02-29</w:t>
      </w:r>
      <w:r>
        <w:br w:type="textWrapping"/>
      </w:r>
      <w:r>
        <w:rPr>
          <w:rStyle w:val="VerbatimChar"/>
        </w:rPr>
        <w:t xml:space="preserve">#&gt;  gtable         * 0.2.0      2016-02-26</w:t>
      </w:r>
      <w:r>
        <w:br w:type="textWrapping"/>
      </w:r>
      <w:r>
        <w:rPr>
          <w:rStyle w:val="VerbatimChar"/>
        </w:rPr>
        <w:t xml:space="preserve">#&gt;  haven            1.1.0      2017-07-09</w:t>
      </w:r>
      <w:r>
        <w:br w:type="textWrapping"/>
      </w:r>
      <w:r>
        <w:rPr>
          <w:rStyle w:val="VerbatimChar"/>
        </w:rPr>
        <w:t xml:space="preserve">#&gt;  highr            0.6        2016-05-09</w:t>
      </w:r>
      <w:r>
        <w:br w:type="textWrapping"/>
      </w:r>
      <w:r>
        <w:rPr>
          <w:rStyle w:val="VerbatimChar"/>
        </w:rPr>
        <w:t xml:space="preserve">#&gt;  hms              0.3        2016-11-22</w:t>
      </w:r>
      <w:r>
        <w:br w:type="textWrapping"/>
      </w:r>
      <w:r>
        <w:rPr>
          <w:rStyle w:val="VerbatimChar"/>
        </w:rPr>
        <w:t xml:space="preserve">#&gt;  htmltools        0.3.6      2017-04-28</w:t>
      </w:r>
      <w:r>
        <w:br w:type="textWrapping"/>
      </w:r>
      <w:r>
        <w:rPr>
          <w:rStyle w:val="VerbatimChar"/>
        </w:rPr>
        <w:t xml:space="preserve">#&gt;  httr             1.3.1      2017-08-20</w:t>
      </w:r>
      <w:r>
        <w:br w:type="textWrapping"/>
      </w:r>
      <w:r>
        <w:rPr>
          <w:rStyle w:val="VerbatimChar"/>
        </w:rPr>
        <w:t xml:space="preserve">#&gt;  jsonlite         1.5        2017-06-01</w:t>
      </w:r>
      <w:r>
        <w:br w:type="textWrapping"/>
      </w:r>
      <w:r>
        <w:rPr>
          <w:rStyle w:val="VerbatimChar"/>
        </w:rPr>
        <w:t xml:space="preserve">#&gt;  knitr            1.17       2017-08-10</w:t>
      </w:r>
      <w:r>
        <w:br w:type="textWrapping"/>
      </w:r>
      <w:r>
        <w:rPr>
          <w:rStyle w:val="VerbatimChar"/>
        </w:rPr>
        <w:t xml:space="preserve">#&gt;  koRpus           0.10-2     2017-04-04</w:t>
      </w:r>
      <w:r>
        <w:br w:type="textWrapping"/>
      </w:r>
      <w:r>
        <w:rPr>
          <w:rStyle w:val="VerbatimChar"/>
        </w:rPr>
        <w:t xml:space="preserve">#&gt;  labeling         0.3        2014-08-23</w:t>
      </w:r>
      <w:r>
        <w:br w:type="textWrapping"/>
      </w:r>
      <w:r>
        <w:rPr>
          <w:rStyle w:val="VerbatimChar"/>
        </w:rPr>
        <w:t xml:space="preserve">#&gt;  lattice          0.20-35    2017-03-25</w:t>
      </w:r>
      <w:r>
        <w:br w:type="textWrapping"/>
      </w:r>
      <w:r>
        <w:rPr>
          <w:rStyle w:val="VerbatimChar"/>
        </w:rPr>
        <w:t xml:space="preserve">#&gt;  lazyeval         0.2.0      2016-06-12</w:t>
      </w:r>
      <w:r>
        <w:br w:type="textWrapping"/>
      </w:r>
      <w:r>
        <w:rPr>
          <w:rStyle w:val="VerbatimChar"/>
        </w:rPr>
        <w:t xml:space="preserve">#&gt;  lubridate        1.6.0      2016-09-13</w:t>
      </w:r>
      <w:r>
        <w:br w:type="textWrapping"/>
      </w:r>
      <w:r>
        <w:rPr>
          <w:rStyle w:val="VerbatimChar"/>
        </w:rPr>
        <w:t xml:space="preserve">#&gt;  magrittr         1.5        2014-11-22</w:t>
      </w:r>
      <w:r>
        <w:br w:type="textWrapping"/>
      </w:r>
      <w:r>
        <w:rPr>
          <w:rStyle w:val="VerbatimChar"/>
        </w:rPr>
        <w:t xml:space="preserve">#&gt;  memoise          1.1.0      2017-04-21</w:t>
      </w:r>
      <w:r>
        <w:br w:type="textWrapping"/>
      </w:r>
      <w:r>
        <w:rPr>
          <w:rStyle w:val="VerbatimChar"/>
        </w:rPr>
        <w:t xml:space="preserve">#&gt;  methods        * 3.4.1      2017-06-30</w:t>
      </w:r>
      <w:r>
        <w:br w:type="textWrapping"/>
      </w:r>
      <w:r>
        <w:rPr>
          <w:rStyle w:val="VerbatimChar"/>
        </w:rPr>
        <w:t xml:space="preserve">#&gt;  mnormt           1.5-5      2016-10-15</w:t>
      </w:r>
      <w:r>
        <w:br w:type="textWrapping"/>
      </w:r>
      <w:r>
        <w:rPr>
          <w:rStyle w:val="VerbatimChar"/>
        </w:rPr>
        <w:t xml:space="preserve">#&gt;  modelr           0.1.1      2017-07-24</w:t>
      </w:r>
      <w:r>
        <w:br w:type="textWrapping"/>
      </w:r>
      <w:r>
        <w:rPr>
          <w:rStyle w:val="VerbatimChar"/>
        </w:rPr>
        <w:t xml:space="preserve">#&gt;  munsell          0.4.3      2016-02-13</w:t>
      </w:r>
      <w:r>
        <w:br w:type="textWrapping"/>
      </w:r>
      <w:r>
        <w:rPr>
          <w:rStyle w:val="VerbatimChar"/>
        </w:rPr>
        <w:t xml:space="preserve">#&gt;  nlme             3.1-131    2017-02-06</w:t>
      </w:r>
      <w:r>
        <w:br w:type="textWrapping"/>
      </w:r>
      <w:r>
        <w:rPr>
          <w:rStyle w:val="VerbatimChar"/>
        </w:rPr>
        <w:t xml:space="preserve">#&gt;  papaja           0.1.0.9492 2017-09-17</w:t>
      </w:r>
      <w:r>
        <w:br w:type="textWrapping"/>
      </w:r>
      <w:r>
        <w:rPr>
          <w:rStyle w:val="VerbatimChar"/>
        </w:rPr>
        <w:t xml:space="preserve">#&gt;  parallel         3.4.1      2017-06-30</w:t>
      </w:r>
      <w:r>
        <w:br w:type="textWrapping"/>
      </w:r>
      <w:r>
        <w:rPr>
          <w:rStyle w:val="VerbatimChar"/>
        </w:rPr>
        <w:t xml:space="preserve">#&gt;  pkgconfig        2.0.1      2017-03-21</w:t>
      </w:r>
      <w:r>
        <w:br w:type="textWrapping"/>
      </w:r>
      <w:r>
        <w:rPr>
          <w:rStyle w:val="VerbatimChar"/>
        </w:rPr>
        <w:t xml:space="preserve">#&gt;  plyr             1.8.4      2016-06-08</w:t>
      </w:r>
      <w:r>
        <w:br w:type="textWrapping"/>
      </w:r>
      <w:r>
        <w:rPr>
          <w:rStyle w:val="VerbatimChar"/>
        </w:rPr>
        <w:t xml:space="preserve">#&gt;  png              0.1-7      2013-12-03</w:t>
      </w:r>
      <w:r>
        <w:br w:type="textWrapping"/>
      </w:r>
      <w:r>
        <w:rPr>
          <w:rStyle w:val="VerbatimChar"/>
        </w:rPr>
        <w:t xml:space="preserve">#&gt;  psych            1.7.5      2017-05-03</w:t>
      </w:r>
      <w:r>
        <w:br w:type="textWrapping"/>
      </w:r>
      <w:r>
        <w:rPr>
          <w:rStyle w:val="VerbatimChar"/>
        </w:rPr>
        <w:t xml:space="preserve">#&gt;  purrr          * 0.2.3      2017-08-02</w:t>
      </w:r>
      <w:r>
        <w:br w:type="textWrapping"/>
      </w:r>
      <w:r>
        <w:rPr>
          <w:rStyle w:val="VerbatimChar"/>
        </w:rPr>
        <w:t xml:space="preserve">#&gt;  R6               2.2.2      2017-06-17</w:t>
      </w:r>
      <w:r>
        <w:br w:type="textWrapping"/>
      </w:r>
      <w:r>
        <w:rPr>
          <w:rStyle w:val="VerbatimChar"/>
        </w:rPr>
        <w:t xml:space="preserve">#&gt;  Rcpp             0.12.12    2017-07-15</w:t>
      </w:r>
      <w:r>
        <w:br w:type="textWrapping"/>
      </w:r>
      <w:r>
        <w:rPr>
          <w:rStyle w:val="VerbatimChar"/>
        </w:rPr>
        <w:t xml:space="preserve">#&gt;  readr          * 1.1.1      2017-05-16</w:t>
      </w:r>
      <w:r>
        <w:br w:type="textWrapping"/>
      </w:r>
      <w:r>
        <w:rPr>
          <w:rStyle w:val="VerbatimChar"/>
        </w:rPr>
        <w:t xml:space="preserve">#&gt;  readxl           1.0.0      2017-04-18</w:t>
      </w:r>
      <w:r>
        <w:br w:type="textWrapping"/>
      </w:r>
      <w:r>
        <w:rPr>
          <w:rStyle w:val="VerbatimChar"/>
        </w:rPr>
        <w:t xml:space="preserve">#&gt;  reshape2         1.4.2      2016-10-22</w:t>
      </w:r>
      <w:r>
        <w:br w:type="textWrapping"/>
      </w:r>
      <w:r>
        <w:rPr>
          <w:rStyle w:val="VerbatimChar"/>
        </w:rPr>
        <w:t xml:space="preserve">#&gt;  rlang            0.1.2      2017-08-09</w:t>
      </w:r>
      <w:r>
        <w:br w:type="textWrapping"/>
      </w:r>
      <w:r>
        <w:rPr>
          <w:rStyle w:val="VerbatimChar"/>
        </w:rPr>
        <w:t xml:space="preserve">#&gt;  rmarkdown        1.6        2017-06-15</w:t>
      </w:r>
      <w:r>
        <w:br w:type="textWrapping"/>
      </w:r>
      <w:r>
        <w:rPr>
          <w:rStyle w:val="VerbatimChar"/>
        </w:rPr>
        <w:t xml:space="preserve">#&gt;  rprojroot        1.2        2017-01-16</w:t>
      </w:r>
      <w:r>
        <w:br w:type="textWrapping"/>
      </w:r>
      <w:r>
        <w:rPr>
          <w:rStyle w:val="VerbatimChar"/>
        </w:rPr>
        <w:t xml:space="preserve">#&gt;  rvest            0.3.2      2016-06-17</w:t>
      </w:r>
      <w:r>
        <w:br w:type="textWrapping"/>
      </w:r>
      <w:r>
        <w:rPr>
          <w:rStyle w:val="VerbatimChar"/>
        </w:rPr>
        <w:t xml:space="preserve">#&gt;  scales           0.5.0.9000 2017-09-07</w:t>
      </w:r>
      <w:r>
        <w:br w:type="textWrapping"/>
      </w:r>
      <w:r>
        <w:rPr>
          <w:rStyle w:val="VerbatimChar"/>
        </w:rPr>
        <w:t xml:space="preserve">#&gt;  stats          * 3.4.1      2017-06-30</w:t>
      </w:r>
      <w:r>
        <w:br w:type="textWrapping"/>
      </w:r>
      <w:r>
        <w:rPr>
          <w:rStyle w:val="VerbatimChar"/>
        </w:rPr>
        <w:t xml:space="preserve">#&gt;  stringi          1.1.5      2017-04-07</w:t>
      </w:r>
      <w:r>
        <w:br w:type="textWrapping"/>
      </w:r>
      <w:r>
        <w:rPr>
          <w:rStyle w:val="VerbatimChar"/>
        </w:rPr>
        <w:t xml:space="preserve">#&gt;  stringr        * 1.2.0      2017-02-18</w:t>
      </w:r>
      <w:r>
        <w:br w:type="textWrapping"/>
      </w:r>
      <w:r>
        <w:rPr>
          <w:rStyle w:val="VerbatimChar"/>
        </w:rPr>
        <w:t xml:space="preserve">#&gt;  tibble         * 1.3.4      2017-08-22</w:t>
      </w:r>
      <w:r>
        <w:br w:type="textWrapping"/>
      </w:r>
      <w:r>
        <w:rPr>
          <w:rStyle w:val="VerbatimChar"/>
        </w:rPr>
        <w:t xml:space="preserve">#&gt;  tidyr          * 0.7.1      2017-09-01</w:t>
      </w:r>
      <w:r>
        <w:br w:type="textWrapping"/>
      </w:r>
      <w:r>
        <w:rPr>
          <w:rStyle w:val="VerbatimChar"/>
        </w:rPr>
        <w:t xml:space="preserve">#&gt;  tidyselect       0.2.0      2017-08-30</w:t>
      </w:r>
      <w:r>
        <w:br w:type="textWrapping"/>
      </w:r>
      <w:r>
        <w:rPr>
          <w:rStyle w:val="VerbatimChar"/>
        </w:rPr>
        <w:t xml:space="preserve">#&gt;  tidyverse      * 1.1.1      2017-01-27</w:t>
      </w:r>
      <w:r>
        <w:br w:type="textWrapping"/>
      </w:r>
      <w:r>
        <w:rPr>
          <w:rStyle w:val="VerbatimChar"/>
        </w:rPr>
        <w:t xml:space="preserve">#&gt;  tools            3.4.1      2017-06-30</w:t>
      </w:r>
      <w:r>
        <w:br w:type="textWrapping"/>
      </w:r>
      <w:r>
        <w:rPr>
          <w:rStyle w:val="VerbatimChar"/>
        </w:rPr>
        <w:t xml:space="preserve">#&gt;  utils          * 3.4.1      2017-06-30</w:t>
      </w:r>
      <w:r>
        <w:br w:type="textWrapping"/>
      </w:r>
      <w:r>
        <w:rPr>
          <w:rStyle w:val="VerbatimChar"/>
        </w:rPr>
        <w:t xml:space="preserve">#&gt;  viridis        * 0.4.0      2017-03-27</w:t>
      </w:r>
      <w:r>
        <w:br w:type="textWrapping"/>
      </w:r>
      <w:r>
        <w:rPr>
          <w:rStyle w:val="VerbatimChar"/>
        </w:rPr>
        <w:t xml:space="preserve">#&gt;  viridisLite    * 0.2.0      2017-03-24</w:t>
      </w:r>
      <w:r>
        <w:br w:type="textWrapping"/>
      </w:r>
      <w:r>
        <w:rPr>
          <w:rStyle w:val="VerbatimChar"/>
        </w:rPr>
        <w:t xml:space="preserve">#&gt;  withr            2.0.0      2017-09-05</w:t>
      </w:r>
      <w:r>
        <w:br w:type="textWrapping"/>
      </w:r>
      <w:r>
        <w:rPr>
          <w:rStyle w:val="VerbatimChar"/>
        </w:rPr>
        <w:t xml:space="preserve">#&gt;  wordcountaddin   0.2.0      2017-05-19</w:t>
      </w:r>
      <w:r>
        <w:br w:type="textWrapping"/>
      </w:r>
      <w:r>
        <w:rPr>
          <w:rStyle w:val="VerbatimChar"/>
        </w:rPr>
        <w:t xml:space="preserve">#&gt;  xml2             1.1.1      2017-01-24</w:t>
      </w:r>
      <w:r>
        <w:br w:type="textWrapping"/>
      </w:r>
      <w:r>
        <w:rPr>
          <w:rStyle w:val="VerbatimChar"/>
        </w:rPr>
        <w:t xml:space="preserve">#&gt;  yaml             2.1.14     2016-11-12</w:t>
      </w:r>
      <w:r>
        <w:br w:type="textWrapping"/>
      </w:r>
      <w:r>
        <w:rPr>
          <w:rStyle w:val="VerbatimChar"/>
        </w:rPr>
        <w:t xml:space="preserve">#&gt;  zoo            * 1.8-0      2017-04-12</w:t>
      </w:r>
      <w:r>
        <w:br w:type="textWrapping"/>
      </w:r>
      <w:r>
        <w:rPr>
          <w:rStyle w:val="VerbatimChar"/>
        </w:rPr>
        <w:t xml:space="preserve">#&gt;  source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Github (rsheets/cellranger@024d5ba)</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(tidyverse/ggplot2@c592e32)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Github (crsh/papaja@ede6845)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(hadley/scales@d767915)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(jimhester/withr@eff4818)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[83531af] 2017-09-16: finalised submission to AAP</w:t>
      </w:r>
    </w:p>
    <w:sectPr w:rsidR="006A601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55DF1"/>
    <w:multiLevelType w:val="multilevel"/>
    <w:tmpl w:val="E70E93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f121aa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2568c6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Standard">
    <w:name w:val="Normal"/>
    <w:qFormat/>
    <w:rsid w:val="00E73C8D"/>
    <w:pPr>
      <w:spacing w:before="180" w:after="240" w:line="360" w:lineRule="auto"/>
      <w:ind w:firstLine="567"/>
    </w:pPr>
    <w:rPr>
      <w:rFonts w:ascii="Times" w:hAnsi="Time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mpact">
    <w:name w:val="Compact"/>
    <w:basedOn w:val="Standard"/>
    <w:qFormat/>
    <w:rsid w:val="00E73C8D"/>
    <w:pPr>
      <w:spacing w:before="36" w:after="36" w:line="240" w:lineRule="auto"/>
      <w:ind w:firstLine="0"/>
    </w:pPr>
  </w:style>
  <w:style w:type="paragraph" w:styleId="Titel">
    <w:name w:val="Title"/>
    <w:basedOn w:val="Standard"/>
    <w:next w:val="Standard"/>
    <w:qFormat/>
    <w:rsid w:val="00E73C8D"/>
    <w:pPr>
      <w:keepNext/>
      <w:keepLines/>
      <w:spacing w:before="480"/>
      <w:ind w:firstLine="0"/>
      <w:jc w:val="center"/>
    </w:pPr>
    <w:rPr>
      <w:rFonts w:eastAsiaTheme="majorEastAsia" w:cstheme="majorBidi"/>
      <w:bCs/>
      <w:szCs w:val="36"/>
    </w:rPr>
  </w:style>
  <w:style w:type="paragraph" w:customStyle="1" w:styleId="Authors">
    <w:name w:val="Authors"/>
    <w:next w:val="Standard"/>
    <w:qFormat/>
    <w:rsid w:val="00E73C8D"/>
    <w:pPr>
      <w:keepNext/>
      <w:keepLines/>
      <w:jc w:val="center"/>
    </w:pPr>
    <w:rPr>
      <w:rFonts w:ascii="Times" w:hAnsi="Times"/>
    </w:rPr>
  </w:style>
  <w:style w:type="paragraph" w:styleId="Datum">
    <w:name w:val="Date"/>
    <w:next w:val="Standard"/>
    <w:qFormat/>
    <w:pPr>
      <w:keepNext/>
      <w:keepLines/>
      <w:jc w:val="center"/>
    </w:pPr>
  </w:style>
  <w:style w:type="paragraph" w:customStyle="1" w:styleId="Heading1">
    <w:name w:val="Heading 1"/>
    <w:basedOn w:val="Standard"/>
    <w:next w:val="Standard"/>
    <w:uiPriority w:val="9"/>
    <w:qFormat/>
    <w:rsid w:val="00E73C8D"/>
    <w:pPr>
      <w:keepNext/>
      <w:keepLines/>
      <w:spacing w:before="240"/>
      <w:ind w:firstLine="0"/>
      <w:jc w:val="center"/>
      <w:outlineLvl w:val="0"/>
    </w:pPr>
    <w:rPr>
      <w:rFonts w:eastAsiaTheme="majorEastAsia" w:cstheme="majorBidi"/>
      <w:b/>
      <w:bCs/>
      <w:szCs w:val="36"/>
    </w:rPr>
  </w:style>
  <w:style w:type="paragraph" w:customStyle="1" w:styleId="Heading2">
    <w:name w:val="Heading 2"/>
    <w:basedOn w:val="Standard"/>
    <w:next w:val="Standard"/>
    <w:uiPriority w:val="9"/>
    <w:unhideWhenUsed/>
    <w:qFormat/>
    <w:rsid w:val="00E73C8D"/>
    <w:pPr>
      <w:keepNext/>
      <w:keepLines/>
      <w:spacing w:before="240" w:after="0"/>
      <w:ind w:firstLine="0"/>
      <w:outlineLvl w:val="1"/>
    </w:pPr>
    <w:rPr>
      <w:rFonts w:eastAsiaTheme="majorEastAsia" w:cstheme="majorBidi"/>
      <w:b/>
      <w:bCs/>
      <w:szCs w:val="32"/>
    </w:rPr>
  </w:style>
  <w:style w:type="paragraph" w:customStyle="1" w:styleId="Heading3">
    <w:name w:val="Heading 3"/>
    <w:basedOn w:val="Standard"/>
    <w:next w:val="Standard"/>
    <w:uiPriority w:val="9"/>
    <w:unhideWhenUsed/>
    <w:qFormat/>
    <w:rsid w:val="00E73C8D"/>
    <w:pPr>
      <w:keepNext/>
      <w:keepLines/>
      <w:framePr w:hSpace="142" w:wrap="around" w:vAnchor="text" w:hAnchor="text" w:y="1"/>
      <w:spacing w:before="0" w:after="0" w:line="240" w:lineRule="auto"/>
      <w:outlineLvl w:val="1"/>
    </w:pPr>
    <w:rPr>
      <w:rFonts w:eastAsiaTheme="majorEastAsia" w:cstheme="majorBidi"/>
      <w:b/>
      <w:bCs/>
      <w:szCs w:val="28"/>
    </w:rPr>
  </w:style>
  <w:style w:type="paragraph" w:customStyle="1" w:styleId="Heading4">
    <w:name w:val="Heading 4"/>
    <w:basedOn w:val="Heading3"/>
    <w:next w:val="Standard"/>
    <w:uiPriority w:val="9"/>
    <w:unhideWhenUsed/>
    <w:qFormat/>
    <w:rsid w:val="00E73C8D"/>
    <w:pPr>
      <w:framePr w:wrap="around"/>
    </w:pPr>
    <w:rPr>
      <w:bCs w:val="0"/>
      <w:i/>
      <w:szCs w:val="24"/>
    </w:rPr>
  </w:style>
  <w:style w:type="paragraph" w:customStyle="1" w:styleId="Heading5">
    <w:name w:val="Heading 5"/>
    <w:basedOn w:val="Heading3"/>
    <w:next w:val="Standard"/>
    <w:uiPriority w:val="9"/>
    <w:unhideWhenUsed/>
    <w:qFormat/>
    <w:rsid w:val="00692418"/>
    <w:pPr>
      <w:framePr w:wrap="around"/>
      <w:spacing w:before="200"/>
    </w:pPr>
    <w:rPr>
      <w:b w:val="0"/>
      <w:i/>
      <w:iCs/>
      <w:szCs w:val="24"/>
    </w:rPr>
  </w:style>
  <w:style w:type="paragraph" w:customStyle="1" w:styleId="BlockQuote">
    <w:name w:val="Block Quote"/>
    <w:basedOn w:val="Standard"/>
    <w:next w:val="Standard"/>
    <w:uiPriority w:val="9"/>
    <w:unhideWhenUsed/>
    <w:qFormat/>
    <w:rsid w:val="00E73C8D"/>
    <w:pPr>
      <w:spacing w:before="100" w:after="100"/>
      <w:ind w:left="720"/>
    </w:pPr>
    <w:rPr>
      <w:rFonts w:eastAsiaTheme="majorEastAsia" w:cstheme="majorBidi"/>
      <w:bCs/>
      <w:szCs w:val="20"/>
    </w:rPr>
  </w:style>
  <w:style w:type="paragraph" w:customStyle="1" w:styleId="Footnote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Textkrper">
    <w:name w:val="Body Text"/>
    <w:basedOn w:val="Standard"/>
    <w:pPr>
      <w:spacing w:after="120"/>
    </w:pPr>
  </w:style>
  <w:style w:type="paragraph" w:customStyle="1" w:styleId="TableCaption">
    <w:name w:val="Table Caption"/>
    <w:basedOn w:val="Standard"/>
    <w:pPr>
      <w:spacing w:before="0" w:after="120"/>
    </w:pPr>
    <w:rPr>
      <w:i/>
    </w:rPr>
  </w:style>
  <w:style w:type="paragraph" w:customStyle="1" w:styleId="ImageCaption">
    <w:name w:val="Image Caption"/>
    <w:basedOn w:val="Standard"/>
    <w:link w:val="BodyTextChar"/>
    <w:pPr>
      <w:spacing w:before="0" w:after="120"/>
    </w:pPr>
    <w:rPr>
      <w:i/>
    </w:rPr>
  </w:style>
  <w:style w:type="character" w:customStyle="1" w:styleId="BodyTextChar">
    <w:name w:val="Body Text Char"/>
    <w:basedOn w:val="Absatzstandardschriftar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1">
    <w:name w:val="Link1"/>
    <w:basedOn w:val="BodyTextChar"/>
    <w:rPr>
      <w:color w:val="4F81BD" w:themeColor="accent1"/>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eichen"/>
    <w:rsid w:val="00E73C8D"/>
    <w:pPr>
      <w:spacing w:before="0"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rsid w:val="00E73C8D"/>
    <w:rPr>
      <w:rFonts w:ascii="Lucida Grande" w:hAnsi="Lucida Grande" w:cs="Lucida Grande"/>
      <w:sz w:val="18"/>
      <w:szCs w:val="1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hyperlink" Id="rId57" Target="doi:10.1002/asi.22634" TargetMode="External" /><Relationship Type="http://schemas.openxmlformats.org/officeDocument/2006/relationships/hyperlink" Id="rId65" Target="doi:10.1353/mcb.2006.0061" TargetMode="External" /><Relationship Type="http://schemas.openxmlformats.org/officeDocument/2006/relationships/hyperlink" Id="rId75" Target="doi:10.1371/journal.pone.0007078" TargetMode="External" /><Relationship Type="http://schemas.openxmlformats.org/officeDocument/2006/relationships/hyperlink" Id="rId86" Target="doi:10.1371/journal.pone.0067332" TargetMode="External" /><Relationship Type="http://schemas.openxmlformats.org/officeDocument/2006/relationships/hyperlink" Id="rId56" Target="http://archaeologydataservice.ac.uk/arches/Wiki.jsp?page=ARCHES%20Introduction" TargetMode="External" /><Relationship Type="http://schemas.openxmlformats.org/officeDocument/2006/relationships/hyperlink" Id="rId85" Target="http://doi.org/10.1525/collabra.13" TargetMode="External" /><Relationship Type="http://schemas.openxmlformats.org/officeDocument/2006/relationships/hyperlink" Id="rId49" Target="http://doi.org/10.17605/OSF.IO/32A87" TargetMode="External" /><Relationship Type="http://schemas.openxmlformats.org/officeDocument/2006/relationships/hyperlink" Id="rId48" Target="http://doi.org/xxx/xxx" TargetMode="External" /><Relationship Type="http://schemas.openxmlformats.org/officeDocument/2006/relationships/hyperlink" Id="rId50" Target="http://dx.doi.org/10.17605/OSF.IO/32A87" TargetMode="External" /><Relationship Type="http://schemas.openxmlformats.org/officeDocument/2006/relationships/hyperlink" Id="rId33" Target="http://dx.doi.org/10.17605/OSF.IO/KSRUZ" TargetMode="External" /><Relationship Type="http://schemas.openxmlformats.org/officeDocument/2006/relationships/hyperlink" Id="rId84" Target="http://guides.archaeologydataservice.ac.uk/" TargetMode="External" /><Relationship Type="http://schemas.openxmlformats.org/officeDocument/2006/relationships/hyperlink" Id="rId81" Target="http://hdl.handle.net/10022/AC:P:11417" TargetMode="External" /><Relationship Type="http://schemas.openxmlformats.org/officeDocument/2006/relationships/hyperlink" Id="rId73" Target="http://journals.plos.org/plosmedicine/policies.php#sharing" TargetMode="External" /><Relationship Type="http://schemas.openxmlformats.org/officeDocument/2006/relationships/hyperlink" Id="rId67" Target="http://www.nsf.gov/pubs/2005/nsb0540/" TargetMode="External" /><Relationship Type="http://schemas.openxmlformats.org/officeDocument/2006/relationships/hyperlink" Id="rId44" Target="http://www.re3data.org" TargetMode="External" /><Relationship Type="http://schemas.openxmlformats.org/officeDocument/2006/relationships/hyperlink" Id="rId46" Target="https://doi.org" TargetMode="External" /><Relationship Type="http://schemas.openxmlformats.org/officeDocument/2006/relationships/hyperlink" Id="rId61" Target="https://doi.org/10.1038/nn.4550" TargetMode="External" /><Relationship Type="http://schemas.openxmlformats.org/officeDocument/2006/relationships/hyperlink" Id="rId87" Target="https://doi.org/10.1038/sdata.2016.18" TargetMode="External" /><Relationship Type="http://schemas.openxmlformats.org/officeDocument/2006/relationships/hyperlink" Id="rId83" Target="https://doi.org/10.1111/j.1748-720X.2007.00163.x" TargetMode="External" /><Relationship Type="http://schemas.openxmlformats.org/officeDocument/2006/relationships/hyperlink" Id="rId74" Target="https://doi.org/10.1186/s41073-017-0028-9" TargetMode="External" /><Relationship Type="http://schemas.openxmlformats.org/officeDocument/2006/relationships/hyperlink" Id="rId66" Target="https://doi.org/10.1371/journal.pbio.2001414" TargetMode="External" /><Relationship Type="http://schemas.openxmlformats.org/officeDocument/2006/relationships/hyperlink" Id="rId63" Target="https://doi.org/10.1371/journal.pcbi.1005097" TargetMode="External" /><Relationship Type="http://schemas.openxmlformats.org/officeDocument/2006/relationships/hyperlink" Id="rId71" Target="https://doi.org/10.1371/journal.pone.0000308" TargetMode="External" /><Relationship Type="http://schemas.openxmlformats.org/officeDocument/2006/relationships/hyperlink" Id="rId55" Target="https://doi.org/10.1371/journal.pone.0024357" TargetMode="External" /><Relationship Type="http://schemas.openxmlformats.org/officeDocument/2006/relationships/hyperlink" Id="rId82" Target="https://doi.org/10.1371/journal.pone.0134826" TargetMode="External" /><Relationship Type="http://schemas.openxmlformats.org/officeDocument/2006/relationships/hyperlink" Id="rId62" Target="https://doi.org/10.1371/journal.pone.0175583" TargetMode="External" /><Relationship Type="http://schemas.openxmlformats.org/officeDocument/2006/relationships/hyperlink" Id="rId58" Target="https://doi.org/10.1525/bio.2013.63.6.10" TargetMode="External" /><Relationship Type="http://schemas.openxmlformats.org/officeDocument/2006/relationships/hyperlink" Id="rId70" Target="https://doi.org/10.3897/rio.3.e12431" TargetMode="External" /><Relationship Type="http://schemas.openxmlformats.org/officeDocument/2006/relationships/hyperlink" Id="rId79" Target="https://doi.org/10.5060/D2251G48" TargetMode="External" /><Relationship Type="http://schemas.openxmlformats.org/officeDocument/2006/relationships/hyperlink" Id="rId77" Target="https://doi.org/10.6084/M9.FIGSHARE.1222998.V1" TargetMode="External" /><Relationship Type="http://schemas.openxmlformats.org/officeDocument/2006/relationships/hyperlink" Id="rId72" Target="https://doi.org/10.7717/peerj.175" TargetMode="External" /><Relationship Type="http://schemas.openxmlformats.org/officeDocument/2006/relationships/hyperlink" Id="rId47" Target="https://hdl.handle.net/" TargetMode="External" /><Relationship Type="http://schemas.openxmlformats.org/officeDocument/2006/relationships/hyperlink" Id="rId64" Target="https://introspectivedigitalarchaeology.wordpress.com/2017/05/23/citing-data-reuse/" TargetMode="External" /><Relationship Type="http://schemas.openxmlformats.org/officeDocument/2006/relationships/hyperlink" Id="rId80" Target="https://ssrn.com/abstract=1362040" TargetMode="External" /><Relationship Type="http://schemas.openxmlformats.org/officeDocument/2006/relationships/hyperlink" Id="rId59" Target="https://web.archive.org/web/20130125222940/https://www.elsevier.com/journals/journal-of-archaeological-science/0305-4403/guide-for-authors" TargetMode="External" /><Relationship Type="http://schemas.openxmlformats.org/officeDocument/2006/relationships/hyperlink" Id="rId78" Target="https://web.stanford.edu/~vcs/Nov21/hilary_spencer_rdcscsJan2010.pdf" TargetMode="External" /><Relationship Type="http://schemas.openxmlformats.org/officeDocument/2006/relationships/hyperlink" Id="rId76" Target="https://www.nature.com/sdata/policies/repositories" TargetMode="External" /><Relationship Type="http://schemas.openxmlformats.org/officeDocument/2006/relationships/hyperlink" Id="rId69" Target="https://www.nsf.gov/bfa/dias/policy/dmp.jsp" TargetMode="External" /><Relationship Type="http://schemas.openxmlformats.org/officeDocument/2006/relationships/hyperlink" Id="rId68" Target="https://www.nsf.gov/bfa/dias/policy/dmpfaqs.jsp#1" TargetMode="External" /><Relationship Type="http://schemas.openxmlformats.org/officeDocument/2006/relationships/hyperlink" Id="rId60" Target="https://www.tdar.org/news/2012/12/just-20-days-left-upload-your-archaeological-information-free-to-tdar/" TargetMode="External" /><Relationship Type="http://schemas.openxmlformats.org/officeDocument/2006/relationships/hyperlink" Id="rId22"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57" Target="doi:10.1002/asi.22634" TargetMode="External" /><Relationship Type="http://schemas.openxmlformats.org/officeDocument/2006/relationships/hyperlink" Id="rId65" Target="doi:10.1353/mcb.2006.0061" TargetMode="External" /><Relationship Type="http://schemas.openxmlformats.org/officeDocument/2006/relationships/hyperlink" Id="rId75" Target="doi:10.1371/journal.pone.0007078" TargetMode="External" /><Relationship Type="http://schemas.openxmlformats.org/officeDocument/2006/relationships/hyperlink" Id="rId86" Target="doi:10.1371/journal.pone.0067332" TargetMode="External" /><Relationship Type="http://schemas.openxmlformats.org/officeDocument/2006/relationships/hyperlink" Id="rId56" Target="http://archaeologydataservice.ac.uk/arches/Wiki.jsp?page=ARCHES%20Introduction" TargetMode="External" /><Relationship Type="http://schemas.openxmlformats.org/officeDocument/2006/relationships/hyperlink" Id="rId85" Target="http://doi.org/10.1525/collabra.13" TargetMode="External" /><Relationship Type="http://schemas.openxmlformats.org/officeDocument/2006/relationships/hyperlink" Id="rId49" Target="http://doi.org/10.17605/OSF.IO/32A87" TargetMode="External" /><Relationship Type="http://schemas.openxmlformats.org/officeDocument/2006/relationships/hyperlink" Id="rId48" Target="http://doi.org/xxx/xxx" TargetMode="External" /><Relationship Type="http://schemas.openxmlformats.org/officeDocument/2006/relationships/hyperlink" Id="rId50" Target="http://dx.doi.org/10.17605/OSF.IO/32A87" TargetMode="External" /><Relationship Type="http://schemas.openxmlformats.org/officeDocument/2006/relationships/hyperlink" Id="rId33" Target="http://dx.doi.org/10.17605/OSF.IO/KSRUZ" TargetMode="External" /><Relationship Type="http://schemas.openxmlformats.org/officeDocument/2006/relationships/hyperlink" Id="rId84" Target="http://guides.archaeologydataservice.ac.uk/" TargetMode="External" /><Relationship Type="http://schemas.openxmlformats.org/officeDocument/2006/relationships/hyperlink" Id="rId81" Target="http://hdl.handle.net/10022/AC:P:11417" TargetMode="External" /><Relationship Type="http://schemas.openxmlformats.org/officeDocument/2006/relationships/hyperlink" Id="rId73" Target="http://journals.plos.org/plosmedicine/policies.php#sharing" TargetMode="External" /><Relationship Type="http://schemas.openxmlformats.org/officeDocument/2006/relationships/hyperlink" Id="rId67" Target="http://www.nsf.gov/pubs/2005/nsb0540/" TargetMode="External" /><Relationship Type="http://schemas.openxmlformats.org/officeDocument/2006/relationships/hyperlink" Id="rId44" Target="http://www.re3data.org" TargetMode="External" /><Relationship Type="http://schemas.openxmlformats.org/officeDocument/2006/relationships/hyperlink" Id="rId46" Target="https://doi.org" TargetMode="External" /><Relationship Type="http://schemas.openxmlformats.org/officeDocument/2006/relationships/hyperlink" Id="rId61" Target="https://doi.org/10.1038/nn.4550" TargetMode="External" /><Relationship Type="http://schemas.openxmlformats.org/officeDocument/2006/relationships/hyperlink" Id="rId87" Target="https://doi.org/10.1038/sdata.2016.18" TargetMode="External" /><Relationship Type="http://schemas.openxmlformats.org/officeDocument/2006/relationships/hyperlink" Id="rId83" Target="https://doi.org/10.1111/j.1748-720X.2007.00163.x" TargetMode="External" /><Relationship Type="http://schemas.openxmlformats.org/officeDocument/2006/relationships/hyperlink" Id="rId74" Target="https://doi.org/10.1186/s41073-017-0028-9" TargetMode="External" /><Relationship Type="http://schemas.openxmlformats.org/officeDocument/2006/relationships/hyperlink" Id="rId66" Target="https://doi.org/10.1371/journal.pbio.2001414" TargetMode="External" /><Relationship Type="http://schemas.openxmlformats.org/officeDocument/2006/relationships/hyperlink" Id="rId63" Target="https://doi.org/10.1371/journal.pcbi.1005097" TargetMode="External" /><Relationship Type="http://schemas.openxmlformats.org/officeDocument/2006/relationships/hyperlink" Id="rId71" Target="https://doi.org/10.1371/journal.pone.0000308" TargetMode="External" /><Relationship Type="http://schemas.openxmlformats.org/officeDocument/2006/relationships/hyperlink" Id="rId55" Target="https://doi.org/10.1371/journal.pone.0024357" TargetMode="External" /><Relationship Type="http://schemas.openxmlformats.org/officeDocument/2006/relationships/hyperlink" Id="rId82" Target="https://doi.org/10.1371/journal.pone.0134826" TargetMode="External" /><Relationship Type="http://schemas.openxmlformats.org/officeDocument/2006/relationships/hyperlink" Id="rId62" Target="https://doi.org/10.1371/journal.pone.0175583" TargetMode="External" /><Relationship Type="http://schemas.openxmlformats.org/officeDocument/2006/relationships/hyperlink" Id="rId58" Target="https://doi.org/10.1525/bio.2013.63.6.10" TargetMode="External" /><Relationship Type="http://schemas.openxmlformats.org/officeDocument/2006/relationships/hyperlink" Id="rId70" Target="https://doi.org/10.3897/rio.3.e12431" TargetMode="External" /><Relationship Type="http://schemas.openxmlformats.org/officeDocument/2006/relationships/hyperlink" Id="rId79" Target="https://doi.org/10.5060/D2251G48" TargetMode="External" /><Relationship Type="http://schemas.openxmlformats.org/officeDocument/2006/relationships/hyperlink" Id="rId77" Target="https://doi.org/10.6084/M9.FIGSHARE.1222998.V1" TargetMode="External" /><Relationship Type="http://schemas.openxmlformats.org/officeDocument/2006/relationships/hyperlink" Id="rId72" Target="https://doi.org/10.7717/peerj.175" TargetMode="External" /><Relationship Type="http://schemas.openxmlformats.org/officeDocument/2006/relationships/hyperlink" Id="rId47" Target="https://hdl.handle.net/" TargetMode="External" /><Relationship Type="http://schemas.openxmlformats.org/officeDocument/2006/relationships/hyperlink" Id="rId64" Target="https://introspectivedigitalarchaeology.wordpress.com/2017/05/23/citing-data-reuse/" TargetMode="External" /><Relationship Type="http://schemas.openxmlformats.org/officeDocument/2006/relationships/hyperlink" Id="rId80" Target="https://ssrn.com/abstract=1362040" TargetMode="External" /><Relationship Type="http://schemas.openxmlformats.org/officeDocument/2006/relationships/hyperlink" Id="rId59" Target="https://web.archive.org/web/20130125222940/https://www.elsevier.com/journals/journal-of-archaeological-science/0305-4403/guide-for-authors" TargetMode="External" /><Relationship Type="http://schemas.openxmlformats.org/officeDocument/2006/relationships/hyperlink" Id="rId78" Target="https://web.stanford.edu/~vcs/Nov21/hilary_spencer_rdcscsJan2010.pdf" TargetMode="External" /><Relationship Type="http://schemas.openxmlformats.org/officeDocument/2006/relationships/hyperlink" Id="rId76" Target="https://www.nature.com/sdata/policies/repositories" TargetMode="External" /><Relationship Type="http://schemas.openxmlformats.org/officeDocument/2006/relationships/hyperlink" Id="rId69" Target="https://www.nsf.gov/bfa/dias/policy/dmp.jsp" TargetMode="External" /><Relationship Type="http://schemas.openxmlformats.org/officeDocument/2006/relationships/hyperlink" Id="rId68" Target="https://www.nsf.gov/bfa/dias/policy/dmpfaqs.jsp#1" TargetMode="External" /><Relationship Type="http://schemas.openxmlformats.org/officeDocument/2006/relationships/hyperlink" Id="rId60" Target="https://www.tdar.org/news/2012/12/just-20-days-left-upload-your-archaeological-information-free-to-tdar/" TargetMode="External" /><Relationship Type="http://schemas.openxmlformats.org/officeDocument/2006/relationships/hyperlink" Id="rId22"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
  <dcterms:created xsi:type="dcterms:W3CDTF">2017-09-17T05:48:40Z</dcterms:created>
  <dcterms:modified xsi:type="dcterms:W3CDTF">2017-09-17T05:48:40Z</dcterms:modified>
</cp:coreProperties>
</file>