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7.png" ContentType="image/png"/>
  <Override PartName="/word/media/rId35.png" ContentType="image/png"/>
  <Override PartName="/word/media/rId31.png" ContentType="image/png"/>
  <Override PartName="/word/media/rId25.png" ContentType="image/png"/>
  <Override PartName="/word/media/rId3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Author"/>
      </w:pPr>
      <w:r>
        <w:t xml:space="preserve">Ben</w:t>
      </w:r>
      <w:r>
        <w:t xml:space="preserve"> </w:t>
      </w:r>
      <w:r>
        <w:t xml:space="preserve">Marwick</w:t>
      </w:r>
    </w:p>
    <w:p>
      <w:pPr>
        <w:pStyle w:val="Author"/>
      </w:pPr>
      <w:r>
        <w:t xml:space="preserve">Suzanne</w:t>
      </w:r>
      <w:r>
        <w:t xml:space="preserve"> </w:t>
      </w:r>
      <w:r>
        <w:t xml:space="preserve">E.</w:t>
      </w:r>
      <w:r>
        <w:t xml:space="preserve"> </w:t>
      </w:r>
      <w:r>
        <w:t xml:space="preserve">Pilaar</w:t>
      </w:r>
      <w:r>
        <w:t xml:space="preserve"> </w:t>
      </w:r>
      <w:r>
        <w:t xml:space="preserve">Birch</w:t>
      </w:r>
    </w:p>
    <w:p>
      <w:pPr>
        <w:pStyle w:val="Date"/>
      </w:pPr>
      <w:r>
        <w:t xml:space="preserve">13</w:t>
      </w:r>
      <w:r>
        <w:t xml:space="preserve"> </w:t>
      </w:r>
      <w:r>
        <w:t xml:space="preserve">September,</w:t>
      </w:r>
      <w:r>
        <w:t xml:space="preserve"> </w:t>
      </w:r>
      <w:r>
        <w:t xml:space="preserve">2017</w:t>
      </w:r>
    </w:p>
    <w:p>
      <w:pPr>
        <w:pStyle w:val="Abstract"/>
      </w:pPr>
      <w:r>
        <w:t xml:space="preserve">Text</w:t>
      </w:r>
      <w:r>
        <w:t xml:space="preserve"> </w:t>
      </w:r>
      <w:r>
        <w:t xml:space="preserve">of</w:t>
      </w:r>
      <w:r>
        <w:t xml:space="preserve"> </w:t>
      </w:r>
      <w:r>
        <w:t xml:space="preserve">abstract</w:t>
      </w:r>
    </w:p>
    <w:p>
      <w:pPr>
        <w:pStyle w:val="Heading1"/>
      </w:pPr>
      <w:bookmarkStart w:id="21" w:name="introduction"/>
      <w:bookmarkEnd w:id="21"/>
      <w:r>
        <w:t xml:space="preserve">Introduction</w:t>
      </w:r>
    </w:p>
    <w:p>
      <w:pPr>
        <w:pStyle w:val="FirstParagraph"/>
      </w:pPr>
      <w:r>
        <w:t xml:space="preserve">Data are the building blocks of research, and access to data is necessary to fully understand and extend the work of others (Fienberg et al 1985). Yet archaeological data are often not available for a variety of reasons, including a perceived lack of credit for making data available. 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the discipline and identifying novel research directions.</w:t>
      </w:r>
    </w:p>
    <w:p>
      <w:pPr>
        <w:pStyle w:val="BodyText"/>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2" w:name="what-are-data"/>
      <w:bookmarkEnd w:id="22"/>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BodyText"/>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 cited in Borgman 2015)</w:t>
      </w:r>
    </w:p>
    <w:p>
      <w:pPr>
        <w:pStyle w:val="TableCaption"/>
      </w:pPr>
      <w:r>
        <w:t xml:space="preserve">Table 1 A selection of defintions of research data</w:t>
      </w:r>
    </w:p>
    <w:tbl>
      <w:tblPr>
        <w:tblStyle w:val="TableNormal"/>
        <w:tblW w:type="pct" w:w="0.0"/>
        <w:tblLook w:firstRow="1"/>
        <w:tblCaption w:val="Table 1 A selection of defin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BodyText"/>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dependant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also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dependant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do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This might include omitting or degrading location data (e.g. so that site locations are not revealed to the public), removing or anonymising personally identifiable information. Methods for ensuring privacy can be complex and change rapidly, so seeking expert help may be necessary to do this properly.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3" w:name="what-are-the-benefits-of-data-sharing-to-the-individual-researcher"/>
      <w:bookmarkEnd w:id="23"/>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 2010</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 2010</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 2010</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 2010</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 2010</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 2010</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 2010</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 2010</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 2010</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 2010</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 2012</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 2012</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 2012</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 2012</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4" w:name="what-do-researchers-think-about-sharing-data"/>
      <w:bookmarkEnd w:id="24"/>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BodyText"/>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Stodden’s (2009a, b) ‘Reproducible Research Standard’, summarised in Figure</w:t>
      </w:r>
      <w:r>
        <w:t xml:space="preserve"> </w:t>
      </w:r>
      <w:r>
        <w:t xml:space="preserve">1</w:t>
      </w:r>
      <w:r>
        <w:t xml:space="preserve">, is a convenient and robust copyright schema that is in wide use for many typical research projects.</w:t>
      </w:r>
    </w:p>
    <w:p>
      <w:pPr>
        <w:pStyle w:val="FigureWithCaption"/>
      </w:pPr>
      <w:r>
        <w:drawing>
          <wp:inline>
            <wp:extent cx="5334000" cy="2193342"/>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5"/>
                    <a:stretch>
                      <a:fillRect/>
                    </a:stretch>
                  </pic:blipFill>
                  <pic:spPr bwMode="auto">
                    <a:xfrm>
                      <a:off x="0" y="0"/>
                      <a:ext cx="5334000" cy="2193342"/>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BodyText"/>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26" w:name="what-are-the-current-norms-of-data-sharing"/>
      <w:bookmarkEnd w:id="26"/>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to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Archaeologists can be found all over this spectrum because of the diversity of archaeological research, however, our view is that archaeology is for the most part a restricted data-sharing field. There are few standardised and widely used methods for sharing and citing data, a challenge for archaeological data sharing that we hope this paper will help to address.</w:t>
      </w:r>
    </w:p>
    <w:p>
      <w:pPr>
        <w:pStyle w:val="BodyText"/>
      </w:pPr>
      <w:r>
        <w:t xml:space="preserve">Even though there is a wide spectrum of data sharing behaviours, from intensive to restrictive, overall rates of data sharing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BodyText"/>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BodyText"/>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 found that the key factors responsible for the unavailability of data was that the data were lost or on inaccessible storage media.</w:t>
      </w:r>
    </w:p>
    <w:p>
      <w:pPr>
        <w:pStyle w:val="Heading1"/>
      </w:pPr>
      <w:bookmarkStart w:id="27" w:name="do-archaeologists-share-data"/>
      <w:bookmarkEnd w:id="27"/>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28" w:name="reproducibility-and-open-source-materials-for-this-study"/>
      <w:bookmarkEnd w:id="28"/>
      <w:r>
        <w:t xml:space="preserve">Reproducibility and open source materials for this study</w:t>
      </w:r>
    </w:p>
    <w:p>
      <w:pPr>
        <w:pStyle w:val="FirstParagraph"/>
      </w:pPr>
      <w:r>
        <w:t xml:space="preserve">To enable re-use of our materials and improve reproducibility and transparency according to the principles outlined in Marwick (2017), we include the entire R code used for all the analysis and visualizations contained in this paper in our SOM at</w:t>
      </w:r>
      <w:r>
        <w:t xml:space="preserve"> </w:t>
      </w:r>
      <w:hyperlink r:id="rId29">
        <w:r>
          <w:rPr>
            <w:rStyle w:val="Hyperlink"/>
          </w:rPr>
          <w:t xml:space="preserve">http://dx.doi.org/10.17605/OSF.IO/KSRUZ</w:t>
        </w:r>
      </w:hyperlink>
      <w:r>
        <w:t xml:space="preserve">. Also in this version-controlled compendium are the raw data for all the tests reported here. All of the figures, tables and statistical test results presented here can be independently reproduced with the code and data in this repository. In our SOM our code is released under the MIT licence, our data as CC-0, and our figures as CC-BY, to enable maximum re-use (for more details, see Marwick 2017).</w:t>
      </w:r>
    </w:p>
    <w:p>
      <w:pPr>
        <w:pStyle w:val="Heading2"/>
      </w:pPr>
      <w:bookmarkStart w:id="30" w:name="email-requests-for-data-in-a-published-article"/>
      <w:bookmarkEnd w:id="30"/>
      <w:r>
        <w:t xml:space="preserve">Email requests for data in a published article</w:t>
      </w:r>
    </w:p>
    <w:p>
      <w:pPr>
        <w:pStyle w:val="FirstParagraph"/>
      </w:pPr>
      <w:r>
        <w:t xml:space="preserve">Our sample of authors that we wrote email to focused on Journal of Archaeological Science 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We sent out emails to the first authors of 23 stone artefact experiment papers, and recieved 15 replies, resulting in a 70% response rate. We recieved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 ready for distribution. We found no effect on the author's student status at time of publication on data sharing behaviours, with roughly equal proportions of students and non-students sharing and not sharing.</w:t>
      </w:r>
    </w:p>
    <w:p>
      <w:pPr>
        <w:pStyle w:val="BodyText"/>
      </w:pPr>
      <w:r>
        <w:t xml:space="preserve">Similarly there are no clear patterns data sharing of among different journals. It is remarkable that the authors of the one PLOS One paper we contacted declined to share because that refusal violates the policy of that journal at the time of publication of that paper (early 2014): "Publication is conditional upon the agreement of the authors to make freely available any materials and information described in their publication that may be reasonably requested by others for the purpose of academic, non-commercial research."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been made their data openly available.</w:t>
      </w:r>
    </w:p>
    <w:p>
      <w:pPr>
        <w:pStyle w:val="BodyText"/>
      </w:pPr>
      <w:r>
        <w:t xml:space="preserve">We see similar rates of sharing in response to email requests among archaeologist to what have been described in other disciplines (Table</w:t>
      </w:r>
      <w:r>
        <w:t xml:space="preserve"> </w:t>
      </w:r>
      <w:r>
        <w:t xml:space="preserve">6</w:t>
      </w:r>
      <w:r>
        <w:t xml:space="preserve">,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 are reluctant to share: they are fearful that they will lose the opportunity to produce further publications from those data, and that their data is not in a form suitable for sharing and the task of organising those data is not a high priority. These reasons not to share have also been documented in other research areas. The absence of patterns in the date of the paper, student status of the author and other variables may relate to more to our small sample size than a real absence of relationships in data sharing behaviour.</w:t>
      </w:r>
    </w:p>
    <w:p>
      <w:pPr>
        <w:pStyle w:val="TableCaption"/>
      </w:pPr>
      <w:r>
        <w:t xml:space="preserve">Table 6 Summary of a selection of previous studies of data sharing in various fields.</w:t>
      </w:r>
    </w:p>
    <w:tbl>
      <w:tblPr>
        <w:tblStyle w:val="TableNormal"/>
        <w:tblW w:type="pct" w:w="0.0"/>
        <w:tblLook w:firstRow="1"/>
        <w:tblCaption w:val="Table 6 Summary of a selection of previous studies of data sharing in various fields."/>
      </w:tblPr>
      <w:tblGrid/>
      <w:tr>
        <w:trPr>
          <w:cnfStyle w:firstRow="1"/>
        </w:trPr>
        <w:tc>
          <w:tcPr>
            <w:tcBorders>
              <w:bottom w:val="single"/>
            </w:tcBorders>
            <w:vAlign w:val="bottom"/>
          </w:tcPr>
          <w:p>
            <w:pPr>
              <w:pStyle w:val="Compact"/>
              <w:jc w:val="left"/>
            </w:pPr>
            <w:r>
              <w:t xml:space="preserve">Subject area</w:t>
            </w:r>
          </w:p>
        </w:tc>
        <w:tc>
          <w:tcPr>
            <w:tcBorders>
              <w:bottom w:val="single"/>
            </w:tcBorders>
            <w:vAlign w:val="bottom"/>
          </w:tcPr>
          <w:p>
            <w:pPr>
              <w:pStyle w:val="Compact"/>
              <w:jc w:val="right"/>
            </w:pPr>
            <w:r>
              <w:t xml:space="preserve">Requested datasets</w:t>
            </w:r>
          </w:p>
        </w:tc>
        <w:tc>
          <w:tcPr>
            <w:tcBorders>
              <w:bottom w:val="single"/>
            </w:tcBorders>
            <w:vAlign w:val="bottom"/>
          </w:tcPr>
          <w:p>
            <w:pPr>
              <w:pStyle w:val="Compact"/>
              <w:jc w:val="left"/>
            </w:pPr>
            <w:r>
              <w:t xml:space="preserve">Available datasets</w:t>
            </w:r>
          </w:p>
        </w:tc>
        <w:tc>
          <w:tcPr>
            <w:tcBorders>
              <w:bottom w:val="single"/>
            </w:tcBorders>
            <w:vAlign w:val="bottom"/>
          </w:tcPr>
          <w:p>
            <w:pPr>
              <w:pStyle w:val="Compact"/>
              <w:jc w:val="left"/>
            </w:pPr>
            <w:r>
              <w:t xml:space="preserve">Source journal(s)</w:t>
            </w:r>
          </w:p>
        </w:tc>
        <w:tc>
          <w:tcPr>
            <w:tcBorders>
              <w:bottom w:val="single"/>
            </w:tcBorders>
            <w:vAlign w:val="bottom"/>
          </w:tcPr>
          <w:p>
            <w:pPr>
              <w:pStyle w:val="Compact"/>
              <w:jc w:val="left"/>
            </w:pPr>
            <w:r>
              <w:t xml:space="preserve">Study</w:t>
            </w:r>
          </w:p>
        </w:tc>
      </w:tr>
      <w:tr>
        <w:tc>
          <w:p>
            <w:pPr>
              <w:pStyle w:val="Compact"/>
              <w:jc w:val="left"/>
            </w:pPr>
            <w:r>
              <w:t xml:space="preserve">Cancer</w:t>
            </w:r>
          </w:p>
        </w:tc>
        <w:tc>
          <w:p>
            <w:pPr>
              <w:pStyle w:val="Compact"/>
              <w:jc w:val="right"/>
            </w:pPr>
            <w:r>
              <w:t xml:space="preserve">64</w:t>
            </w:r>
          </w:p>
        </w:tc>
        <w:tc>
          <w:p>
            <w:pPr>
              <w:pStyle w:val="Compact"/>
              <w:jc w:val="left"/>
            </w:pPr>
            <w:r>
              <w:t xml:space="preserve">42 (66%)</w:t>
            </w:r>
          </w:p>
        </w:tc>
        <w:tc>
          <w:p>
            <w:pPr>
              <w:pStyle w:val="Compact"/>
              <w:jc w:val="left"/>
            </w:pPr>
            <w:r>
              <w:t xml:space="preserve">Various</w:t>
            </w:r>
          </w:p>
        </w:tc>
        <w:tc>
          <w:p>
            <w:pPr>
              <w:pStyle w:val="Compact"/>
              <w:jc w:val="left"/>
            </w:pPr>
            <w:r>
              <w:t xml:space="preserve">Kyzas et al. (2005)</w:t>
            </w:r>
          </w:p>
        </w:tc>
      </w:tr>
      <w:tr>
        <w:tc>
          <w:p>
            <w:pPr>
              <w:pStyle w:val="Compact"/>
              <w:jc w:val="left"/>
            </w:pPr>
            <w:r>
              <w:t xml:space="preserve">Medicine, Cancer</w:t>
            </w:r>
          </w:p>
        </w:tc>
        <w:tc>
          <w:p>
            <w:pPr>
              <w:pStyle w:val="Compact"/>
              <w:jc w:val="right"/>
            </w:pPr>
            <w:r>
              <w:t xml:space="preserve">85</w:t>
            </w:r>
          </w:p>
        </w:tc>
        <w:tc>
          <w:p>
            <w:pPr>
              <w:pStyle w:val="Compact"/>
              <w:jc w:val="left"/>
            </w:pPr>
            <w:r>
              <w:t xml:space="preserve">41 (48%)</w:t>
            </w:r>
          </w:p>
        </w:tc>
        <w:tc>
          <w:p>
            <w:pPr>
              <w:pStyle w:val="Compact"/>
              <w:jc w:val="left"/>
            </w:pPr>
            <w:r>
              <w:t xml:space="preserve">Various</w:t>
            </w:r>
          </w:p>
        </w:tc>
        <w:tc>
          <w:p>
            <w:pPr>
              <w:pStyle w:val="Compact"/>
              <w:jc w:val="left"/>
            </w:pPr>
            <w:r>
              <w:t xml:space="preserve">Piwowar et al. (2007)</w:t>
            </w:r>
          </w:p>
        </w:tc>
      </w:tr>
      <w:tr>
        <w:tc>
          <w:p>
            <w:pPr>
              <w:pStyle w:val="Compact"/>
              <w:jc w:val="left"/>
            </w:pPr>
            <w:r>
              <w:t xml:space="preserve">Psychology</w:t>
            </w:r>
          </w:p>
        </w:tc>
        <w:tc>
          <w:p>
            <w:pPr>
              <w:pStyle w:val="Compact"/>
              <w:jc w:val="right"/>
            </w:pPr>
            <w:r>
              <w:t xml:space="preserve">141</w:t>
            </w:r>
          </w:p>
        </w:tc>
        <w:tc>
          <w:p>
            <w:pPr>
              <w:pStyle w:val="Compact"/>
              <w:jc w:val="left"/>
            </w:pPr>
            <w:r>
              <w:t xml:space="preserve">64 (45%)</w:t>
            </w:r>
          </w:p>
        </w:tc>
        <w:tc>
          <w:p>
            <w:pPr>
              <w:pStyle w:val="Compact"/>
              <w:jc w:val="left"/>
            </w:pPr>
            <w:r>
              <w:t xml:space="preserve">Journal of Personality and Social Psychology, Developmental Psychology, Journal of Consulting and Clinical Psychology, Journal of Experimental Psychology: Learning, Memory, and Cognition.</w:t>
            </w:r>
          </w:p>
        </w:tc>
        <w:tc>
          <w:p>
            <w:pPr>
              <w:pStyle w:val="Compact"/>
              <w:jc w:val="left"/>
            </w:pPr>
            <w:r>
              <w:t xml:space="preserve">Wicherts et al. (2006)</w:t>
            </w:r>
          </w:p>
        </w:tc>
      </w:tr>
      <w:tr>
        <w:tc>
          <w:p>
            <w:pPr>
              <w:pStyle w:val="Compact"/>
              <w:jc w:val="left"/>
            </w:pPr>
            <w:r>
              <w:t xml:space="preserve">Economics</w:t>
            </w:r>
          </w:p>
        </w:tc>
        <w:tc>
          <w:p>
            <w:pPr>
              <w:pStyle w:val="Compact"/>
              <w:jc w:val="right"/>
            </w:pPr>
            <w:r>
              <w:t xml:space="preserve">15</w:t>
            </w:r>
          </w:p>
        </w:tc>
        <w:tc>
          <w:p>
            <w:pPr>
              <w:pStyle w:val="Compact"/>
              <w:jc w:val="left"/>
            </w:pPr>
            <w:r>
              <w:t xml:space="preserve">6 (40%)</w:t>
            </w:r>
          </w:p>
        </w:tc>
        <w:tc>
          <w:p>
            <w:pPr>
              <w:pStyle w:val="Compact"/>
              <w:jc w:val="left"/>
            </w:pPr>
            <w:r>
              <w:t xml:space="preserve">American Economic Review, the International Journal of Industrial Organization, and the Journal of International Economics</w:t>
            </w:r>
          </w:p>
        </w:tc>
        <w:tc>
          <w:p>
            <w:pPr>
              <w:pStyle w:val="Compact"/>
              <w:jc w:val="left"/>
            </w:pPr>
            <w:r>
              <w:t xml:space="preserve">McCullough and Vinod (2005)</w:t>
            </w:r>
          </w:p>
        </w:tc>
      </w:tr>
      <w:tr>
        <w:tc>
          <w:p>
            <w:pPr>
              <w:pStyle w:val="Compact"/>
              <w:jc w:val="left"/>
            </w:pPr>
            <w:r>
              <w:t xml:space="preserve">Economics</w:t>
            </w:r>
          </w:p>
        </w:tc>
        <w:tc>
          <w:p>
            <w:pPr>
              <w:pStyle w:val="Compact"/>
              <w:jc w:val="right"/>
            </w:pPr>
            <w:r>
              <w:t xml:space="preserve">193</w:t>
            </w:r>
          </w:p>
        </w:tc>
        <w:tc>
          <w:p>
            <w:pPr>
              <w:pStyle w:val="Compact"/>
              <w:jc w:val="left"/>
            </w:pPr>
            <w:r>
              <w:t xml:space="preserve">69 (36%)</w:t>
            </w:r>
          </w:p>
        </w:tc>
        <w:tc>
          <w:p>
            <w:pPr>
              <w:pStyle w:val="Compact"/>
              <w:jc w:val="left"/>
            </w:pPr>
            <w:r>
              <w:t xml:space="preserve">Jounal of Money, Credit and Banking</w:t>
            </w:r>
          </w:p>
        </w:tc>
        <w:tc>
          <w:p>
            <w:pPr>
              <w:pStyle w:val="Compact"/>
              <w:jc w:val="left"/>
            </w:pPr>
            <w:r>
              <w:t xml:space="preserve">McCullough et al. (2006)</w:t>
            </w:r>
          </w:p>
        </w:tc>
      </w:tr>
      <w:tr>
        <w:tc>
          <w:p>
            <w:pPr>
              <w:pStyle w:val="Compact"/>
              <w:jc w:val="left"/>
            </w:pPr>
            <w:r>
              <w:t xml:space="preserve">Medicine</w:t>
            </w:r>
          </w:p>
        </w:tc>
        <w:tc>
          <w:p>
            <w:pPr>
              <w:pStyle w:val="Compact"/>
              <w:jc w:val="right"/>
            </w:pPr>
            <w:r>
              <w:t xml:space="preserve">10</w:t>
            </w:r>
          </w:p>
        </w:tc>
        <w:tc>
          <w:p>
            <w:pPr>
              <w:pStyle w:val="Compact"/>
              <w:jc w:val="left"/>
            </w:pPr>
            <w:r>
              <w:t xml:space="preserve">1 (10%)</w:t>
            </w:r>
          </w:p>
        </w:tc>
        <w:tc>
          <w:p>
            <w:pPr>
              <w:pStyle w:val="Compact"/>
              <w:jc w:val="left"/>
            </w:pPr>
            <w:r>
              <w:t xml:space="preserve">PLoS Medicine, PLoS Clinical Trials</w:t>
            </w:r>
          </w:p>
        </w:tc>
        <w:tc>
          <w:p>
            <w:pPr>
              <w:pStyle w:val="Compact"/>
              <w:jc w:val="left"/>
            </w:pPr>
            <w:r>
              <w:t xml:space="preserve">Savage and Vickers (2009)</w:t>
            </w:r>
          </w:p>
        </w:tc>
      </w:tr>
      <w:tr>
        <w:tc>
          <w:p>
            <w:pPr>
              <w:pStyle w:val="Compact"/>
              <w:jc w:val="left"/>
            </w:pPr>
            <w:r>
              <w:t xml:space="preserve">Medicine</w:t>
            </w:r>
          </w:p>
        </w:tc>
        <w:tc>
          <w:p>
            <w:pPr>
              <w:pStyle w:val="Compact"/>
              <w:jc w:val="right"/>
            </w:pPr>
            <w:r>
              <w:t xml:space="preserve">29</w:t>
            </w:r>
          </w:p>
        </w:tc>
        <w:tc>
          <w:p>
            <w:pPr>
              <w:pStyle w:val="Compact"/>
              <w:jc w:val="left"/>
            </w:pPr>
            <w:r>
              <w:t xml:space="preserve">1 (3%)</w:t>
            </w:r>
          </w:p>
        </w:tc>
        <w:tc>
          <w:p>
            <w:pPr>
              <w:pStyle w:val="Compact"/>
              <w:jc w:val="left"/>
            </w:pPr>
            <w:r>
              <w:t xml:space="preserve">British Medical Journal</w:t>
            </w:r>
          </w:p>
        </w:tc>
        <w:tc>
          <w:p>
            <w:pPr>
              <w:pStyle w:val="Compact"/>
              <w:jc w:val="left"/>
            </w:pPr>
            <w:r>
              <w:t xml:space="preserve">Reidpath and Allotey (2002)</w:t>
            </w:r>
          </w:p>
        </w:tc>
      </w:tr>
      <w:tr>
        <w:tc>
          <w:p>
            <w:pPr>
              <w:pStyle w:val="Compact"/>
              <w:jc w:val="left"/>
            </w:pPr>
            <w:r>
              <w:t xml:space="preserve">Epidemiology</w:t>
            </w:r>
          </w:p>
        </w:tc>
        <w:tc>
          <w:p>
            <w:pPr>
              <w:pStyle w:val="Compact"/>
              <w:jc w:val="right"/>
            </w:pPr>
            <w:r>
              <w:t xml:space="preserve">69</w:t>
            </w:r>
          </w:p>
        </w:tc>
        <w:tc>
          <w:p>
            <w:pPr>
              <w:pStyle w:val="Compact"/>
              <w:jc w:val="left"/>
            </w:pPr>
            <w:r>
              <w:t xml:space="preserve">0 (0%)</w:t>
            </w:r>
          </w:p>
        </w:tc>
        <w:tc>
          <w:p>
            <w:pPr>
              <w:pStyle w:val="Compact"/>
              <w:jc w:val="left"/>
            </w:pPr>
            <w:r>
              <w:t xml:space="preserve">American Journal of Epidemiology, Journal of the American Medical Association</w:t>
            </w:r>
          </w:p>
        </w:tc>
        <w:tc>
          <w:p>
            <w:pPr>
              <w:pStyle w:val="Compact"/>
              <w:jc w:val="left"/>
            </w:pPr>
            <w:r>
              <w:t xml:space="preserve">Peng et al. (2006)</w:t>
            </w:r>
          </w:p>
        </w:tc>
      </w:tr>
    </w:tbl>
    <w:p>
      <w:pPr>
        <w:pStyle w:val="FigureWithCaption"/>
      </w:pPr>
      <w:r>
        <w:drawing>
          <wp:inline>
            <wp:extent cx="5334000" cy="3518277"/>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31"/>
                    <a:stretch>
                      <a:fillRect/>
                    </a:stretch>
                  </pic:blipFill>
                  <pic:spPr bwMode="auto">
                    <a:xfrm>
                      <a:off x="0" y="0"/>
                      <a:ext cx="5334000" cy="3518277"/>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2" w:name="survey-of-articles-published-in-the-journal-of-archaeological-science"/>
      <w:bookmarkEnd w:id="32"/>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28.1%), followed by radiocarbon and luminescence age data (where the dates are the primary object of analysis, n = 5, 15.6%) and DNA sequences (n = 4, 12.5%). Generally, compositional data is presented in tables in the text, dating data is presented in supplementary files, and DNA data are in repositories (as is typical for DNA data). Data shared in supplementary files and online repositories were most often in Microsoft Excel format (n = 5, 38.5% of the files in supplements files and repositories), followed by CSV (comma separated variables, a open source plain text spreadsheet format, n = 4, 30.8%), and tables embedded in Microsoft Word or PDF documents (n = 4, 30.8%). When a scripting language such as R, Python, MATLAB or OxCal was used as the analysis software for a paper (n = 7, 53.9% of the papers where would identify the software), only 2 papers also provided the script with the paper.</w:t>
      </w:r>
    </w:p>
    <w:p>
      <w:pPr>
        <w:pStyle w:val="BodyText"/>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instrumentes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4" w:name="data-sets-in-repositories-tracked-by-datacite"/>
      <w:bookmarkEnd w:id="34"/>
      <w:r>
        <w:t xml:space="preserve">Data sets in repositories tracked by DataCite</w:t>
      </w:r>
    </w:p>
    <w:p>
      <w:pPr>
        <w:pStyle w:val="FigureWithCaption"/>
      </w:pPr>
      <w:r>
        <w:drawing>
          <wp:inline>
            <wp:extent cx="5334000" cy="4849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5"/>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drawing>
          <wp:inline>
            <wp:extent cx="5334000" cy="2832100"/>
            <wp:effectExtent b="0" l="0" r="0" t="0"/>
            <wp:docPr descr="Figure 5 Relationships between data centres and file formats. The ten most frequently found file formats are shown here, in the data centres with these files from the top ten data centres by number of DOIs. Open file formats for structured data, such as CSV, are not common." id="1" name="Picture"/>
            <a:graphic>
              <a:graphicData uri="http://schemas.openxmlformats.org/drawingml/2006/picture">
                <pic:pic>
                  <pic:nvPicPr>
                    <pic:cNvPr descr="plot_structured_data_files_per_file_tally.png" id="0" name="Picture"/>
                    <pic:cNvPicPr>
                      <a:picLocks noChangeArrowheads="1" noChangeAspect="1"/>
                    </pic:cNvPicPr>
                  </pic:nvPicPr>
                  <pic:blipFill>
                    <a:blip r:embed="rId36"/>
                    <a:stretch>
                      <a:fillRect/>
                    </a:stretch>
                  </pic:blipFill>
                  <pic:spPr bwMode="auto">
                    <a:xfrm>
                      <a:off x="0" y="0"/>
                      <a:ext cx="5334000" cy="2832100"/>
                    </a:xfrm>
                    <a:prstGeom prst="rect">
                      <a:avLst/>
                    </a:prstGeom>
                    <a:noFill/>
                    <a:ln w="9525">
                      <a:noFill/>
                      <a:headEnd/>
                      <a:tailEnd/>
                    </a:ln>
                  </pic:spPr>
                </pic:pic>
              </a:graphicData>
            </a:graphic>
          </wp:inline>
        </w:drawing>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BodyText"/>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become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 spike occurs in 2012 when tDAR had a large increate in deposits, likley due to them waiving their deposit fees for that year (Ellison 2012). After 2009 the volume of deposits declined in many repositories, with the exception of generic repositories such as Figshare, Zenodo and ResearchGate, which continued to grow.</w:t>
      </w:r>
    </w:p>
    <w:p>
      <w:pPr>
        <w:pStyle w:val="BodyText"/>
      </w:pPr>
      <w:r>
        <w:t xml:space="preserve">Of the 75,632 records with copyright information, the majority are released under the ADS conditions of use (n = 43,661, 58%), which is broadly similar to the CC-BY-NC (Moore and Richards 2015). The next most frequently used condition is the EU Open Access licence (n = 22,198, 29%), similar to the CC-BY licence. Creative Commons licenses such as CC-BY, CC-0 and others are used by less than 3% of records.</w:t>
      </w:r>
    </w:p>
    <w:p>
      <w:pPr>
        <w:pStyle w:val="BodyText"/>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 (n = 174). Note that file format information is not present for all records in this sample, and some of the smaller repositories do not supply this information to DataCite at all, so it is possible that the true proportion of structured files in these records is higher than obsevered here.</w:t>
      </w:r>
    </w:p>
    <w:p>
      <w:pPr>
        <w:pStyle w:val="BodyText"/>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then ease of reuse of these items is low. Only a small fraction of the items deposited are machine-readable structured data files. The majority of items are PDFs, which require extensive manual handling to extract tablular data for convenient reuse and combination with other datasets.</w:t>
      </w:r>
    </w:p>
    <w:p>
      <w:pPr>
        <w:pStyle w:val="FigureWithCaption"/>
      </w:pPr>
      <w:r>
        <w:drawing>
          <wp:inline>
            <wp:extent cx="5334000" cy="4849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37"/>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38"/>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39" w:name="how-to-share-archaeological-data"/>
      <w:bookmarkEnd w:id="39"/>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List of turstowrthy repositories are maintained by the editors of the journal</w:t>
      </w:r>
      <w:r>
        <w:t xml:space="preserve"> </w:t>
      </w:r>
      <w:r>
        <w:rPr>
          <w:i/>
        </w:rPr>
        <w:t xml:space="preserve">Scientific Data</w:t>
      </w:r>
      <w:r>
        <w:t xml:space="preserve"> </w:t>
      </w:r>
      <w:r>
        <w:t xml:space="preserve">(n.d) and</w:t>
      </w:r>
      <w:r>
        <w:t xml:space="preserve"> </w:t>
      </w:r>
      <w:hyperlink r:id="rId40">
        <w:r>
          <w:rPr>
            <w:rStyle w:val="Hyperlink"/>
          </w:rPr>
          <w:t xml:space="preserve">http://www.re3data.org</w:t>
        </w:r>
      </w:hyperlink>
      <w:r>
        <w:t xml:space="preserve">, a global registry of research data repositories (Pampel et al. 2013).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pracitses fall short of all the guidelines, we still see value in sharing data imperfectly, rather than not at all.</w:t>
      </w:r>
    </w:p>
    <w:p>
      <w:pPr>
        <w:pStyle w:val="BodyText"/>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 the data can change in untracked ways, and published links to the files are broken when these websites are reorganised, making the files inaccessible. Sharing data via supplementary files attached to a journal article is problematic because the are inaccessible to non-subscribers for paywalled journals, and because publishers often alter the data file formats and and file names during the production process. For example, machine-readable format such as CSV are sometimes presented as PDF or Microsoft Word files in supplementary files. The modification of supplementary file names during the article production process can break scrips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reposity, and use persistent links to the files in reports and manuscripts.</w:t>
      </w:r>
    </w:p>
    <w:p>
      <w:pPr>
        <w:pStyle w:val="Heading1"/>
      </w:pPr>
      <w:bookmarkStart w:id="41" w:name="how-to-cite-archaeological-data"/>
      <w:bookmarkEnd w:id="41"/>
      <w:r>
        <w:t xml:space="preserve">How to cite archaeological data?</w:t>
      </w:r>
    </w:p>
    <w:p>
      <w:pPr>
        <w:pStyle w:val="FirstParagraph"/>
      </w:pPr>
      <w:r>
        <w:t xml:space="preserve">The Joint Declaration of Data Citation Principles is the current standard in may disciplines for data citation within any research object (Data Citation Synthesis Group 2014). The result of these principles is a citation formation as follows (the exact order of the items may vary slightly across different referencing styles):</w:t>
      </w:r>
    </w:p>
    <w:p>
      <w:pPr>
        <w:pStyle w:val="BodyText"/>
      </w:pPr>
      <w:r>
        <w:t xml:space="preserve">Creator (PublicationYear). Title. Version. Publisher. Identifier</w:t>
      </w:r>
    </w:p>
    <w:p>
      <w:pPr>
        <w:pStyle w:val="BodyText"/>
      </w:pPr>
      <w:r>
        <w:t xml:space="preserve">The 'PublicationYear', 'Title' and 'Publisher' are familiar from traditional citation formats, except that the publisher may not be a traditional book or journal publisher, but a dedicated data repository organisation. 'Creator' is equivalent to the author or primary collector and arranger of the data (e.g. Open Context or tDAR).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and they remained fixed to a specific file or bundle of files over the lifetime of those objects, even if their location on the internet changes. There are several varieties of these in use, with DOIs (digital object identifiers) currently the most common form. When a data publisher changes the internet address of a data set, the are responsible for informing the DOI-issuing authority so that the DOI resolves to the new location of the files.</w:t>
      </w:r>
    </w:p>
    <w:p>
      <w:pPr>
        <w:pStyle w:val="BodyText"/>
      </w:pPr>
      <w:r>
        <w:t xml:space="preserve">A DOI consists of three parts:</w:t>
      </w:r>
    </w:p>
    <w:p>
      <w:pPr>
        <w:pStyle w:val="Compact"/>
        <w:numPr>
          <w:numId w:val="1001"/>
          <w:ilvl w:val="0"/>
        </w:numPr>
      </w:pPr>
      <w:r>
        <w:t xml:space="preserve">the proxy, usually</w:t>
      </w:r>
      <w:r>
        <w:t xml:space="preserve"> </w:t>
      </w:r>
      <w:hyperlink r:id="rId42">
        <w:r>
          <w:rPr>
            <w:rStyle w:val="Hyperlink"/>
          </w:rPr>
          <w:t xml:space="preserve">https://doi.org</w:t>
        </w:r>
      </w:hyperlink>
      <w:r>
        <w:t xml:space="preserve"> </w:t>
      </w:r>
      <w:r>
        <w:t xml:space="preserve">but sometimes also</w:t>
      </w:r>
      <w:r>
        <w:t xml:space="preserve"> </w:t>
      </w:r>
      <w:hyperlink r:id="rId43">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suffcient for citing a dataset because, like many things onthe internet, the files can change over time. For example we might upload data files to the repository when we submit a paper for peer review, then get a DOI and cite that in our manuscript so the peer reviewers can see them (some services provide a private URL the can be shared with reviewers but it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w:t>
      </w:r>
    </w:p>
    <w:p>
      <w:pPr>
        <w:pStyle w:val="BodyText"/>
      </w:pPr>
      <w:r>
        <w:t xml:space="preserve">When citing data in the text of a manuscript or report, the ideal practice is to cite the dataset and the traditional publication that first described it, like so (Penev et al. 2017):</w:t>
      </w:r>
    </w:p>
    <w:p>
      <w:pPr>
        <w:pStyle w:val="BodyText"/>
      </w:pPr>
      <w:r>
        <w:t xml:space="preserve">"This paper uses data from the [name] data repository at</w:t>
      </w:r>
      <w:r>
        <w:t xml:space="preserve"> </w:t>
      </w:r>
      <w:hyperlink r:id="rId44">
        <w:r>
          <w:rPr>
            <w:rStyle w:val="Hyperlink"/>
          </w:rPr>
          <w:t xml:space="preserve">http://doi.org/xxx/xxx</w:t>
        </w:r>
      </w:hyperlink>
      <w:r>
        <w:t xml:space="preserve"> </w:t>
      </w:r>
      <w:r>
        <w:t xml:space="preserve">(Author YYYY), first described in Author YYYY"</w:t>
      </w:r>
    </w:p>
    <w:p>
      <w:pPr>
        <w:pStyle w:val="BodyText"/>
      </w:pPr>
      <w:r>
        <w:t xml:space="preserve">For example:</w:t>
      </w:r>
    </w:p>
    <w:p>
      <w:pPr>
        <w:pStyle w:val="BodyText"/>
      </w:pPr>
      <w:r>
        <w:t xml:space="preserve">"This paper uses data from the Open Science Framework data repository at</w:t>
      </w:r>
      <w:r>
        <w:t xml:space="preserve"> </w:t>
      </w:r>
      <w:hyperlink r:id="rId45">
        <w:r>
          <w:rPr>
            <w:rStyle w:val="Hyperlink"/>
          </w:rPr>
          <w:t xml:space="preserve">http://doi.org/10.17605/OSF.IO/RTZTH</w:t>
        </w:r>
      </w:hyperlink>
      <w:r>
        <w:t xml:space="preserve"> </w:t>
      </w:r>
      <w:r>
        <w:t xml:space="preserve">(Marwick 2017), first described in Marwick et al. 2017."</w:t>
      </w:r>
    </w:p>
    <w:p>
      <w:pPr>
        <w:pStyle w:val="BodyText"/>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recieve credit for their work through the normal mechanisms of citation recognition.</w:t>
      </w:r>
    </w:p>
    <w:p>
      <w:pPr>
        <w:pStyle w:val="BodyText"/>
      </w:pPr>
      <w:r>
        <w:t xml:space="preserve">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 here is a statement that would appear in the paper in which the data are first presented:</w:t>
      </w:r>
    </w:p>
    <w:p>
      <w:pPr>
        <w:pStyle w:val="BodyText"/>
      </w:pPr>
      <w:r>
        <w:t xml:space="preserve">“The data underpinning the analysis reported in this paper were deposited in the Open Science Framework Repository at</w:t>
      </w:r>
      <w:r>
        <w:t xml:space="preserve"> </w:t>
      </w:r>
      <w:hyperlink r:id="rId46">
        <w:r>
          <w:rPr>
            <w:rStyle w:val="Hyperlink"/>
          </w:rPr>
          <w:t xml:space="preserve">http://dx.doi.org/10.17605/OSF.IO/RTZTH</w:t>
        </w:r>
      </w:hyperlink>
      <w:r>
        <w:t xml:space="preserve"> </w:t>
      </w:r>
      <w:r>
        <w:t xml:space="preserve">(Marwick 2017).</w:t>
      </w:r>
    </w:p>
    <w:p>
      <w:pPr>
        <w:pStyle w:val="BodyText"/>
      </w:pPr>
      <w:r>
        <w:t xml:space="preserve">With the reference list of that paper including Marwick (2017) as:</w:t>
      </w:r>
    </w:p>
    <w:p>
      <w:pPr>
        <w:pStyle w:val="BodyText"/>
      </w:pPr>
      <w:r>
        <w:t xml:space="preserve">Marwick, B. (2017). Dataset and R code for "Movement of lithics by trampling: An experiment in the Madjedbebe sediments",</w:t>
      </w:r>
      <w:r>
        <w:t xml:space="preserve"> </w:t>
      </w:r>
      <w:hyperlink r:id="rId45">
        <w:r>
          <w:rPr>
            <w:rStyle w:val="Hyperlink"/>
          </w:rPr>
          <w:t xml:space="preserve">http://doi.org/10.17605/OSF.IO/RTZTH</w:t>
        </w:r>
      </w:hyperlink>
      <w:r>
        <w:t xml:space="preserve">, Open Science Framework, Accessed 7 Sept 2017</w:t>
      </w:r>
    </w:p>
    <w:p>
      <w:pPr>
        <w:pStyle w:val="Heading1"/>
      </w:pPr>
      <w:bookmarkStart w:id="47" w:name="ethics-and-data-sharing"/>
      <w:bookmarkEnd w:id="47"/>
      <w:r>
        <w:t xml:space="preserve">Ethics and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BodyText"/>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hertiage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committement to reducing some of the inequalities in making use of the data, for example, by providing some training in data analysis, or adapting the data into a context that is valued by the indigenous community.</w:t>
      </w:r>
    </w:p>
    <w:p>
      <w:pPr>
        <w:pStyle w:val="BodyText"/>
      </w:pPr>
      <w:r>
        <w:t xml:space="preserve">In short, there is more to the ethics of data sharing than avoiding risk of damage. Redacting the locations of archaeological sites to prevent looting as an obvious case of preparing data for sharing to reduce the risk of damage to the sites.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ourcome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48" w:name="summary-and-conclusion"/>
      <w:bookmarkEnd w:id="48"/>
      <w:r>
        <w:t xml:space="preserve">Summary and Conclusion</w:t>
      </w:r>
    </w:p>
    <w:p>
      <w:pPr>
        <w:pStyle w:val="FirstParagraph"/>
      </w:pPr>
      <w:r>
        <w:t xml:space="preserve">The status of research data is slowly changing in many fields from a privately-held commodity traded for co-authorship and other status tokens to part of the public commons, accessible to anyone with an internet connection. This change in status has been fastest in 'big science' fields, such as astronomy, physics, and oceanography, that use expensive instruments that generate data shared with large teams of collaborators to produce new discoveries (Reichman and Uhlir 2003). However, in 'smaller' sciences such as archaeology, where collaborative groups are small, data sharing is still mostly ad hoc and disaggregated. Our pilot studies support this with an overall sharing rate of 20% in responses to private requests for data, and 53% of sampled journal articles with openly available data, in a wide variety of formats and locations. In exmaning archaeological data deposited in repositories, we found that most of the contents are PDF files of reports, and only a very small fraction of the data files are structured data such as spreadsheets. Archaeologists still have a long way to go in making their data easier to reuse by sharing data in plain text structured data formats such as CSV. We found that legislation requiring data sharing resulted in a substantial increase in the rate of data deposition, and that archaeologists are sensitive to fees charged by a respository.</w:t>
      </w:r>
    </w:p>
    <w:p>
      <w:pPr>
        <w:pStyle w:val="BodyText"/>
      </w:pPr>
      <w:r>
        <w:t xml:space="preserve">Among the many challenges of increased the rate of data sharing in archaeology other 'small' sciences is that data sharing is unfunded, unrewarded and is only rarely required. The challenge of funding can be addressed by professional societies, such as the Society of American Archaeology, communicating to funding bodies, such as the National Science Foundation, about the importance of allocating funds specifically for data sharing and requesting a chance in policy. The challenge of requiring data sharing can also be addressed by funding bodies, but may be most effectively tackled by journal editors and editorial boards, for example by adopting the Transparency and Openness Protocols of the Centre for Open Science (Nosek et al. 2015). Changes in journal-specific submission guidelines can result in desirable changes in authors’ research practices (Giofrè et al 2017). For example, if archaeology journals require as a condition of publication that submitted articles include in the text a properly formatted citation to the data analysed in the article (or an explanation why the data are not available), authors would quickly adapt to this new requirement to ensure their article will be published. As peer reviewers, we can also communicate to editors that we require the manuscripts that we review to include citations of datasets analysied in the manuscript.</w:t>
      </w:r>
    </w:p>
    <w:p>
      <w:pPr>
        <w:pStyle w:val="BodyText"/>
      </w:pPr>
      <w:r>
        <w:t xml:space="preserve">The challenge of data sharing as an unrewarded behaviour was the primary motivation for this article. By specifying a standard for the scholarly citation of archaeological data we provide a method for giving credit to the authors or compilers of the data. This rewards those authors with visibility and recognition for their effort with citations, a currency that is valued broadly in the discipline. The data citation standard outlined above is easy for humans and search engines to understand, and is highly functional, with a full internet address to the data contained in the citation. The standard can accomodate the addition of additional information required by different citation styles and publishers' requirements. The data citation standard is not dependent on any specific choices of software, archive, data producer, publisher, or author and is easy to adapt into existing writing and research workflows.</w:t>
      </w:r>
    </w:p>
    <w:p>
      <w:pPr>
        <w:pStyle w:val="Heading1"/>
      </w:pPr>
      <w:bookmarkStart w:id="49" w:name="acknowledgements"/>
      <w:bookmarkEnd w:id="49"/>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 Thanks to Canan Cakirlar for insights into the history of archaeological data sharing in the Netherlands.</w:t>
      </w:r>
    </w:p>
    <w:p>
      <w:pPr>
        <w:pStyle w:val="Heading1"/>
      </w:pPr>
      <w:bookmarkStart w:id="50" w:name="references"/>
      <w:bookmarkEnd w:id="50"/>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51">
        <w:r>
          <w:rPr>
            <w:rStyle w:val="Hyperlink"/>
          </w:rPr>
          <w:t xml:space="preserve">https://doi.org/10.1371/journal.pone.0024357</w:t>
        </w:r>
      </w:hyperlink>
    </w:p>
    <w:p>
      <w:pPr>
        <w:pStyle w:val="BodyText"/>
      </w:pPr>
      <w:r>
        <w:t xml:space="preserve">American Psychological Association. (2001). Ethical standards for the reporting and publishing of scientiﬁc information. In Publication manual of the American Psychological Association (5th ed., pp. 387–396). Washington, DC</w:t>
      </w:r>
    </w:p>
    <w:p>
      <w:pPr>
        <w:pStyle w:val="BodyText"/>
      </w:pPr>
      <w:r>
        <w:t xml:space="preserve">ARCHES project. (n.d.). The Standard and Guide to Best Practice in Archaeological Archiving in Europe. Retrieved September 7, 2017, from</w:t>
      </w:r>
      <w:r>
        <w:t xml:space="preserve"> </w:t>
      </w:r>
      <w:hyperlink r:id="rId52">
        <w:r>
          <w:rPr>
            <w:rStyle w:val="Hyperlink"/>
          </w:rPr>
          <w:t xml:space="preserve">http://archaeologydataservice.ac.uk/arches/Wiki.jsp?page=ARCHES%20Introduction</w:t>
        </w:r>
      </w:hyperlink>
    </w:p>
    <w:p>
      <w:pPr>
        <w:pStyle w:val="BodyText"/>
      </w:pPr>
      <w:r>
        <w:t xml:space="preserve">Bierer, B.E., Crosas, M., Pierce, H.H., 2017. Data Authorship as an Incentive to Data Sharing, New England Journal of Medicine. 376(17):1684-1687</w:t>
      </w:r>
    </w:p>
    <w:p>
      <w:pPr>
        <w:pStyle w:val="BodyText"/>
      </w:pPr>
      <w:r>
        <w:t xml:space="preserve">Borgman, C. L. (2015). Big data, little data, no data: Scholarship in the networked world. MIT press.</w:t>
      </w:r>
    </w:p>
    <w:p>
      <w:pPr>
        <w:pStyle w:val="BodyText"/>
      </w:pPr>
      <w:r>
        <w:t xml:space="preserve">Borgman, C. L. (2012). The conundrum of sharing research data. Journal of the American Society for Information Science and Technology, 63(6), 1059–1078.</w:t>
      </w:r>
      <w:r>
        <w:t xml:space="preserve"> </w:t>
      </w:r>
      <w:hyperlink r:id="rId53">
        <w:r>
          <w:rPr>
            <w:rStyle w:val="Hyperlink"/>
          </w:rPr>
          <w:t xml:space="preserve">doi:10.1002/asi.22634</w:t>
        </w:r>
      </w:hyperlink>
    </w:p>
    <w:p>
      <w:pPr>
        <w:pStyle w:val="BodyText"/>
      </w:pPr>
      <w:r>
        <w:t xml:space="preserve">Chambers, C. (2017). The seven deadly sins of psychology: A manifesto for reforming the culture of scientific practice. Princeton, NJ: Princeton University Press.</w:t>
      </w:r>
    </w:p>
    <w:p>
      <w:pPr>
        <w:pStyle w:val="BodyText"/>
      </w:pPr>
      <w:r>
        <w:t xml:space="preserve">Clarke, Mary. 2015. The Digital Dilemma: Preservation and the Digital. Archaeological Record. Advances in Archaeological Practice. 3(4): 313-330.</w:t>
      </w:r>
    </w:p>
    <w:p>
      <w:pPr>
        <w:pStyle w:val="BodyText"/>
      </w:pPr>
      <w:r>
        <w:t xml:space="preserve">Daston, Lorraine, Galison Peter. (1992) The Image of Objectivity. Representations. 40:81–128.</w:t>
      </w:r>
    </w:p>
    <w:p>
      <w:pPr>
        <w:pStyle w:val="BodyText"/>
      </w:pPr>
      <w:r>
        <w:t xml:space="preserve">Dorch, B. F., Drachen, T. M., &amp; Ellegaard, O. (2015). The data sharing advantage in astrophysics. Proceedings of the International Astronomical Union, 11(A29A), 172-175.</w:t>
      </w:r>
    </w:p>
    <w:p>
      <w:pPr>
        <w:pStyle w:val="BodyText"/>
      </w:pPr>
      <w:r>
        <w:t xml:space="preserve">Duke, C. S., &amp; Porter, J. H. (2013). The Ethics of Data Sharing and Reuse in Biology. BioScience, 63(6), 483–489.</w:t>
      </w:r>
      <w:r>
        <w:t xml:space="preserve"> </w:t>
      </w:r>
      <w:hyperlink r:id="rId54">
        <w:r>
          <w:rPr>
            <w:rStyle w:val="Hyperlink"/>
          </w:rPr>
          <w:t xml:space="preserve">https://doi.org/10.1525/bio.2013.63.6.10</w:t>
        </w:r>
      </w:hyperlink>
    </w:p>
    <w:p>
      <w:pPr>
        <w:pStyle w:val="BodyText"/>
      </w:pPr>
      <w:r>
        <w:t xml:space="preserve">Editors, (2013). Guide for Authors. Journal of Archaeological Science. Retrieved September 7, 2017, from</w:t>
      </w:r>
      <w:r>
        <w:t xml:space="preserve"> </w:t>
      </w:r>
      <w:hyperlink r:id="rId55">
        <w:r>
          <w:rPr>
            <w:rStyle w:val="Hyperlink"/>
          </w:rPr>
          <w:t xml:space="preserve">https://web.archive.org/web/20130125222940/https://www.elsevier.com/journals/journal-of-archaeological-science/0305-4403/guide-for-authors</w:t>
        </w:r>
      </w:hyperlink>
    </w:p>
    <w:p>
      <w:pPr>
        <w:pStyle w:val="BodyText"/>
      </w:pPr>
      <w:r>
        <w:t xml:space="preserve">Ellison, L. A. (2012). Just 20 days left!! Upload your archaeological information FREE to tDAR!! | The Digital Archaeological Record. Retrieved September 7, 2017, from</w:t>
      </w:r>
      <w:r>
        <w:t xml:space="preserve"> </w:t>
      </w:r>
      <w:hyperlink r:id="rId56">
        <w:r>
          <w:rPr>
            <w:rStyle w:val="Hyperlink"/>
          </w:rPr>
          <w:t xml:space="preserve">https://www.tdar.org/news/2012/12/just-20-days-left-upload-your-archaeological-information-free-to-tdar/</w:t>
        </w:r>
      </w:hyperlink>
    </w:p>
    <w:p>
      <w:pPr>
        <w:pStyle w:val="BodyText"/>
      </w:pPr>
      <w:r>
        <w:t xml:space="preserve">Eglen, S. J., Marwick, B., Halchenko, Y. O., Hanke, M., Sufi, S., Gleeson, P., Poline, J.-B. (2017). Toward standard practices for sharing computer code and programs in neuroscience. Nature Neuroscience, 20(6), 770–773.</w:t>
      </w:r>
      <w:r>
        <w:t xml:space="preserve"> </w:t>
      </w:r>
      <w:hyperlink r:id="rId57">
        <w:r>
          <w:rPr>
            <w:rStyle w:val="Hyperlink"/>
          </w:rPr>
          <w:t xml:space="preserve">https://doi.org/10.1038/nn.4550</w:t>
        </w:r>
      </w:hyperlink>
    </w:p>
    <w:p>
      <w:pPr>
        <w:pStyle w:val="BodyText"/>
      </w:pPr>
      <w:r>
        <w:t xml:space="preserve">Fienberg, S. E., Martin, M. E., &amp; Straf, M. L. (1985). Sharing research data. National Academy Press, Washington DC.</w:t>
      </w:r>
    </w:p>
    <w:p>
      <w:pPr>
        <w:pStyle w:val="BodyText"/>
      </w:pPr>
      <w:r>
        <w:t xml:space="preserve">Giofrè, D., Cumming, G., Fresc, L., Boedker, I., &amp; Tressoldi, P. (2017). The influence of journal submission guidelines on authors’ reporting of statistics and use of open research practices. PLoS ONE, 12(4).</w:t>
      </w:r>
      <w:r>
        <w:t xml:space="preserve"> </w:t>
      </w:r>
      <w:hyperlink r:id="rId58">
        <w:r>
          <w:rPr>
            <w:rStyle w:val="Hyperlink"/>
          </w:rPr>
          <w:t xml:space="preserve">https://doi.org/10.1371/journal.pone.0175583</w:t>
        </w:r>
      </w:hyperlink>
    </w:p>
    <w:p>
      <w:pPr>
        <w:pStyle w:val="BodyText"/>
      </w:pPr>
      <w:r>
        <w:t xml:space="preserve">Gleditsch, N. P., Metelits, C., &amp; Strand, H. (2003). Posting your data: will you be scooped or will you be famous. International Studies Perspectives, 4(1), 89-97.</w:t>
      </w:r>
    </w:p>
    <w:p>
      <w:pPr>
        <w:pStyle w:val="BodyText"/>
      </w:pPr>
      <w:r>
        <w:t xml:space="preserve">Hart, E. M., Barmby, P., LeBauer, D., Michonneau, F., Mount, S., Mulrooney, P., Hollister, J. W. (2016). Ten Simple Rules for Digital Data Storage. PLOS Computational Biology, 12(10), e1005097.</w:t>
      </w:r>
      <w:r>
        <w:t xml:space="preserve"> </w:t>
      </w:r>
      <w:hyperlink r:id="rId59">
        <w:r>
          <w:rPr>
            <w:rStyle w:val="Hyperlink"/>
          </w:rPr>
          <w:t xml:space="preserve">https://doi.org/10.1371/journal.pcbi.1005097</w:t>
        </w:r>
      </w:hyperlink>
    </w:p>
    <w:p>
      <w:pPr>
        <w:pStyle w:val="BodyText"/>
      </w:pPr>
      <w:r>
        <w:t xml:space="preserve">Henneken, E. A., &amp; Accomazzi, A. (2011). Linking to data-effect on citation rates in astronomy. arXiv preprint, arXiv:1111.3618.</w:t>
      </w:r>
    </w:p>
    <w:p>
      <w:pPr>
        <w:pStyle w:val="BodyText"/>
      </w:pPr>
      <w:r>
        <w:t xml:space="preserve">Huggett, J. (2017, May 23). Citing Data Reuse. Retrieved September 7, 2017, from</w:t>
      </w:r>
      <w:r>
        <w:t xml:space="preserve"> </w:t>
      </w:r>
      <w:hyperlink r:id="rId60">
        <w:r>
          <w:rPr>
            <w:rStyle w:val="Hyperlink"/>
          </w:rPr>
          <w:t xml:space="preserve">https://introspectivedigitalarchaeology.wordpress.com/2017/05/23/citing-data-reuse/</w:t>
        </w:r>
      </w:hyperlink>
    </w:p>
    <w:p>
      <w:pPr>
        <w:pStyle w:val="BodyText"/>
      </w:pPr>
      <w:r>
        <w:t xml:space="preserve">Hymes, D. (1972). 1974. Reinventing anthropology. New York: Pantheon</w:t>
      </w:r>
    </w:p>
    <w:p>
      <w:pPr>
        <w:pStyle w:val="BodyText"/>
      </w:pPr>
      <w:r>
        <w:t xml:space="preserve">Inter-university Consortium for Political and Social Research (ICPSR). (2012). Guide to Social Science Data Preparation and Archiving: Best Practice Throughout the Data Life Cycle (5th ed.). Ann Arbor, MI</w:t>
      </w:r>
    </w:p>
    <w:p>
      <w:pPr>
        <w:pStyle w:val="BodyText"/>
      </w:pPr>
      <w:r>
        <w:t xml:space="preserve">Kidwell, M. C., Lazarević, L. B., Baranski, E., Hardwicke, T. E., Piechowski, S., Falkenberg, L. S., &amp; Errington, T. M. (2016). Badges to acknowledge open practices: A simple, low-cost, effective method for increasing transparency. PLoS Biol, 14(5), e1002456.</w:t>
      </w:r>
    </w:p>
    <w:p>
      <w:pPr>
        <w:pStyle w:val="BodyText"/>
      </w:pPr>
      <w:r>
        <w:t xml:space="preserve">Keers, G., van der Reijden, H., and van Rossum, H. 2011. Planning Archaeology: A Synthesis of the Thematic Sub-reports. Amsterdam: Rigo.</w:t>
      </w:r>
    </w:p>
    <w:p>
      <w:pPr>
        <w:pStyle w:val="BodyText"/>
      </w:pPr>
      <w:r>
        <w:t xml:space="preserve">Kratz JE, Strasser C (2015) Researcher Perspectives on Publication and Peer Review of Data. PLOS ONE 10(2): e0117619. doi: 10.1371/journal.pone.0117619</w:t>
      </w:r>
    </w:p>
    <w:p>
      <w:pPr>
        <w:pStyle w:val="BodyText"/>
      </w:pPr>
      <w:r>
        <w:t xml:space="preserve">Kratz J and Strasser C. Data publication consensus and controversies [version 1; referees: 1 approved with reservations]. F1000Research 2014, 3:94</w:t>
      </w:r>
      <w:r>
        <w:t xml:space="preserve"> </w:t>
      </w:r>
      <w:r>
        <w:t xml:space="preserve">(doi: 10.12688/f1000research.3979.1)</w:t>
      </w:r>
    </w:p>
    <w:p>
      <w:pPr>
        <w:pStyle w:val="BodyText"/>
      </w:pPr>
      <w:r>
        <w:t xml:space="preserve">Leonelli, S. (2016). The philosophy of data, In Floridi, L. (Ed.) The Routledge Handbook of Philosophy of Information. Routledge, NY.</w:t>
      </w:r>
    </w:p>
    <w:p>
      <w:pPr>
        <w:pStyle w:val="BodyText"/>
      </w:pPr>
      <w:r>
        <w:t xml:space="preserve">Marwick, B. (2017). Computational reproducibility in archaeological research: Basic principles and a case study of their implementation. Journal of Archaeological Method and Theory, 24(2), 424-450.</w:t>
      </w:r>
    </w:p>
    <w:p>
      <w:pPr>
        <w:pStyle w:val="BodyText"/>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61">
        <w:r>
          <w:rPr>
            <w:rStyle w:val="Hyperlink"/>
          </w:rPr>
          <w:t xml:space="preserve">https://doi.org/10.1371/journal.pbio.2001414</w:t>
        </w:r>
      </w:hyperlink>
    </w:p>
    <w:p>
      <w:pPr>
        <w:pStyle w:val="BodyText"/>
      </w:pPr>
      <w:r>
        <w:t xml:space="preserve">Merton, R.K. (1942) "The Normative Structure of Science". In: Merton, R. K., The Sociology of Science: Theoretical and Empirical Investigations, Chicago, IL: University Of Chicago Press.</w:t>
      </w:r>
    </w:p>
    <w:p>
      <w:pPr>
        <w:pStyle w:val="BodyText"/>
      </w:pPr>
      <w:r>
        <w:t xml:space="preserve">Moore, R., &amp; Richards, J. (2015). Here Today, Gone Tomorrow: Open Access, Open Data and Digital Preservation. In Andrew T. Wilson, Ben Edwards (eds) Open Source Archaeology: Ethics and Practice. De Gruyter, Netherlands</w:t>
      </w:r>
    </w:p>
    <w:p>
      <w:pPr>
        <w:pStyle w:val="BodyText"/>
      </w:pPr>
      <w:r>
        <w:t xml:space="preserve">Nicholas, G. (2014). Indigenous cultural heritage in the age of technological reproducibility: Towards a postcolonial ethic of the public domain. In Coombe, R. J., Wershler, D., &amp; Zeilinger, M. (Eds.) Dynamic fair dealing: creating Canadian culture online. University of Toronto Press. pp. 213-24.</w:t>
      </w:r>
    </w:p>
    <w:p>
      <w:pPr>
        <w:pStyle w:val="BodyText"/>
      </w:pPr>
      <w:r>
        <w:t xml:space="preserve">Nichols, D.M., Twidale, M.B., (2017). Metrics for openness, Journal of the Association for Information Science and Technology 68, 1048-1060.</w:t>
      </w:r>
    </w:p>
    <w:p>
      <w:pPr>
        <w:pStyle w:val="BodyText"/>
      </w:pPr>
      <w:r>
        <w:t xml:space="preserve">Nicholas, G. P., &amp; Wylie, A. (2012). Do Not Do Unto Others…’: Cultural misrecognition and the harms of appropriation in an open-source world. Appropriating the Past: Philosophical Perspectives on Archaeological Practice, 195-221.</w:t>
      </w:r>
    </w:p>
    <w:p>
      <w:pPr>
        <w:pStyle w:val="BodyText"/>
      </w:pPr>
      <w:r>
        <w:t xml:space="preserve">Nicholas, G. P., &amp; Wylie, A. (2009). Archaeological finds: legacies of appropriation, modes of response. The Ethics of Cultural Appropriation, 11-54.</w:t>
      </w:r>
    </w:p>
    <w:p>
      <w:pPr>
        <w:pStyle w:val="BodyText"/>
      </w:pPr>
      <w:r>
        <w:t xml:space="preserve">Nosek, B. A., Alter, G., Banks, G. C., Borsboom, D., Bowman, S. D., Breckler, S. J., Yarkoni, T. (2015). Promoting an open research culture: Author guidelines for journals could help to promote transparency, openness, and reproducibility. Science, 348, 1422–5.</w:t>
      </w:r>
    </w:p>
    <w:p>
      <w:pPr>
        <w:pStyle w:val="BodyText"/>
      </w:pPr>
      <w:r>
        <w:t xml:space="preserve">Nuijten, M. B., Borghuis, J., Veldkamp, C. L. S., Alvarez, L. D., van Assen, M. A. L. M., &amp; Wicherts, J. M. (2017, July 13). Journal Data Sharing Policies and Statistical Reporting Inconsistencies in Psychology. Retrieved September 7, 2017, from psyarxiv.com/sgbta</w:t>
      </w:r>
    </w:p>
    <w:p>
      <w:pPr>
        <w:pStyle w:val="BodyText"/>
      </w:pPr>
      <w:r>
        <w:t xml:space="preserve">National Science Board. (2005). Long-lived digital data collections. Retrieved September 7, 2017, from</w:t>
      </w:r>
      <w:r>
        <w:t xml:space="preserve"> </w:t>
      </w:r>
      <w:hyperlink r:id="rId62">
        <w:r>
          <w:rPr>
            <w:rStyle w:val="Hyperlink"/>
          </w:rPr>
          <w:t xml:space="preserve">http://www.nsf.gov/pubs/2005/nsb0540/</w:t>
        </w:r>
      </w:hyperlink>
    </w:p>
    <w:p>
      <w:pPr>
        <w:pStyle w:val="BodyText"/>
      </w:pPr>
      <w:r>
        <w:t xml:space="preserve">National Science Foundation. (2010). Data Management &amp; Sharing Frequently Asked Questions (FAQs). Retrieved September 7, 2017, from</w:t>
      </w:r>
      <w:r>
        <w:t xml:space="preserve"> </w:t>
      </w:r>
      <w:hyperlink r:id="rId63">
        <w:r>
          <w:rPr>
            <w:rStyle w:val="Hyperlink"/>
          </w:rPr>
          <w:t xml:space="preserve">https://www.nsf.gov/bfa/dias/policy/dmpfaqs.jsp#1</w:t>
        </w:r>
      </w:hyperlink>
    </w:p>
    <w:p>
      <w:pPr>
        <w:pStyle w:val="BodyText"/>
      </w:pPr>
      <w:r>
        <w:t xml:space="preserve">National Science Foundation. (2016). Dissemination and Sharing of Research Results. Retrieved September 7, 2017, from</w:t>
      </w:r>
      <w:r>
        <w:t xml:space="preserve"> </w:t>
      </w:r>
      <w:hyperlink r:id="rId64">
        <w:r>
          <w:rPr>
            <w:rStyle w:val="Hyperlink"/>
          </w:rPr>
          <w:t xml:space="preserve">https://www.nsf.gov/bfa/dias/policy/dmp.jsp</w:t>
        </w:r>
      </w:hyperlink>
    </w:p>
    <w:p>
      <w:pPr>
        <w:pStyle w:val="BodyText"/>
      </w:pPr>
      <w:r>
        <w:t xml:space="preserve">Pampel, H., Vierkant, P., Scholze, F., Bertelmann, R., Kindling, M., Klump, J. &amp; Dierolf, U. (2013). Making research data repositories visible: The re3data.org registry. PloS one, 8(11), e78080.</w:t>
      </w:r>
    </w:p>
    <w:p>
      <w:pPr>
        <w:pStyle w:val="BodyText"/>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65">
        <w:r>
          <w:rPr>
            <w:rStyle w:val="Hyperlink"/>
          </w:rPr>
          <w:t xml:space="preserve">https://doi.org/10.3897/rio.3.e12431</w:t>
        </w:r>
      </w:hyperlink>
    </w:p>
    <w:p>
      <w:pPr>
        <w:pStyle w:val="BodyText"/>
      </w:pPr>
      <w:r>
        <w:t xml:space="preserve">Piwowar HA, Day RS, Fridsma DB (2007) Sharing Detailed Research Data Is Associated with Increased Citation Rate. PLOS ONE 2(3): e308.</w:t>
      </w:r>
      <w:r>
        <w:t xml:space="preserve"> </w:t>
      </w:r>
      <w:hyperlink r:id="rId66">
        <w:r>
          <w:rPr>
            <w:rStyle w:val="Hyperlink"/>
          </w:rPr>
          <w:t xml:space="preserve">https://doi.org/10.1371/journal.pone.0000308</w:t>
        </w:r>
      </w:hyperlink>
    </w:p>
    <w:p>
      <w:pPr>
        <w:pStyle w:val="BodyText"/>
      </w:pPr>
      <w:r>
        <w:t xml:space="preserve">Piwowar, H. A., &amp; Vision, T. J. (2013). Data reuse and the open data citation advantage. PeerJ, 1, e175.</w:t>
      </w:r>
      <w:r>
        <w:t xml:space="preserve"> </w:t>
      </w:r>
      <w:hyperlink r:id="rId67">
        <w:r>
          <w:rPr>
            <w:rStyle w:val="Hyperlink"/>
          </w:rPr>
          <w:t xml:space="preserve">https://doi.org/10.7717/peerj.175</w:t>
        </w:r>
      </w:hyperlink>
    </w:p>
    <w:p>
      <w:pPr>
        <w:pStyle w:val="BodyText"/>
      </w:pPr>
      <w:r>
        <w:t xml:space="preserve">PLoS Medicine Editorial and Publishing Policies. 13. Sharing of Materials, Methods and Data. PLoS Medicine Editorial and Publishing Policies. Retrieved September 7, 2017, from</w:t>
      </w:r>
      <w:r>
        <w:t xml:space="preserve"> </w:t>
      </w:r>
      <w:hyperlink r:id="rId68">
        <w:r>
          <w:rPr>
            <w:rStyle w:val="Hyperlink"/>
          </w:rPr>
          <w:t xml:space="preserve">http://journals.plos.org/plosmedicine/policies.php#sharing</w:t>
        </w:r>
      </w:hyperlink>
      <w:r>
        <w:t xml:space="preserve">.</w:t>
      </w:r>
    </w:p>
    <w:p>
      <w:pPr>
        <w:pStyle w:val="BodyText"/>
      </w:pPr>
      <w:r>
        <w:t xml:space="preserve">Reichman, J. H., &amp; Uhlir, P. F. (2003). A contractually reconstructed research commons for scientific data in a highly protectionist intellectual property environment. Law and Contemporary problems, 66(1/2), 315-462.</w:t>
      </w:r>
    </w:p>
    <w:p>
      <w:pPr>
        <w:pStyle w:val="BodyText"/>
      </w:pPr>
      <w:r>
        <w:t xml:space="preserve">Rowhani-Farid, A., Allen, M., &amp; Barnett, A. G. (2017). What incentives increase data sharing in health and medical research? A systematic review. Research Integrity and Peer Review, 2(1), 4.</w:t>
      </w:r>
      <w:r>
        <w:t xml:space="preserve"> </w:t>
      </w:r>
      <w:hyperlink r:id="rId69">
        <w:r>
          <w:rPr>
            <w:rStyle w:val="Hyperlink"/>
          </w:rPr>
          <w:t xml:space="preserve">https://doi.org/10.1186/s41073-017-0028-9</w:t>
        </w:r>
      </w:hyperlink>
    </w:p>
    <w:p>
      <w:pPr>
        <w:pStyle w:val="BodyText"/>
      </w:pPr>
      <w:r>
        <w:t xml:space="preserve">Scientific Data Editors (n.d) Recommended Data Repositories. Retrieved September 13, 2017, from</w:t>
      </w:r>
      <w:r>
        <w:t xml:space="preserve"> </w:t>
      </w:r>
      <w:hyperlink r:id="rId70">
        <w:r>
          <w:rPr>
            <w:rStyle w:val="Hyperlink"/>
          </w:rPr>
          <w:t xml:space="preserve">https://www.nature.com/sdata/policies/repositories</w:t>
        </w:r>
      </w:hyperlink>
    </w:p>
    <w:p>
      <w:pPr>
        <w:pStyle w:val="BodyText"/>
      </w:pPr>
      <w:r>
        <w:t xml:space="preserve">Sears, J.R.L (2011) Data sharing effect on article citation rate in paleoceanography. Presented at Fall Meeting of the American Geophysical Union. Retrieved September 7, 2017, from</w:t>
      </w:r>
      <w:r>
        <w:t xml:space="preserve"> </w:t>
      </w:r>
      <w:hyperlink r:id="rId71">
        <w:r>
          <w:rPr>
            <w:rStyle w:val="Hyperlink"/>
          </w:rPr>
          <w:t xml:space="preserve">https://doi.org/10.6084/M9.FIGSHARE.1222998.V1</w:t>
        </w:r>
      </w:hyperlink>
    </w:p>
    <w:p>
      <w:pPr>
        <w:pStyle w:val="BodyText"/>
      </w:pPr>
      <w:r>
        <w:t xml:space="preserve">Strasser, C., Cook, R., Michener, W., &amp; Budden, A. (2012). Primer on Data Management: What you always wanted to know. EScholarship. Retrieved September 7, 2017, from</w:t>
      </w:r>
      <w:r>
        <w:t xml:space="preserve"> </w:t>
      </w:r>
      <w:hyperlink r:id="rId72">
        <w:r>
          <w:rPr>
            <w:rStyle w:val="Hyperlink"/>
          </w:rPr>
          <w:t xml:space="preserve">https://doi.org/10.5060/D2251G48</w:t>
        </w:r>
      </w:hyperlink>
    </w:p>
    <w:p>
      <w:pPr>
        <w:pStyle w:val="BodyText"/>
      </w:pPr>
      <w:r>
        <w:t xml:space="preserve">Stodden, V. (2009a). The legal framework for reproducible scientific research: Licensing and copyright. Computing in Science &amp; Engineering, 11(1), 35-40.</w:t>
      </w:r>
    </w:p>
    <w:p>
      <w:pPr>
        <w:pStyle w:val="BodyText"/>
      </w:pPr>
      <w:r>
        <w:t xml:space="preserve">Stodden, V. (2009b) Enabling Reproducible Research: Open Licensing for Scientific Innovation. International Journal of Communications Law and Policy. Retrieved September 7, 2017, from</w:t>
      </w:r>
      <w:r>
        <w:t xml:space="preserve"> </w:t>
      </w:r>
      <w:hyperlink r:id="rId73">
        <w:r>
          <w:rPr>
            <w:rStyle w:val="Hyperlink"/>
          </w:rPr>
          <w:t xml:space="preserve">https://ssrn.com/abstract=1362040</w:t>
        </w:r>
      </w:hyperlink>
    </w:p>
    <w:p>
      <w:pPr>
        <w:pStyle w:val="BodyText"/>
      </w:pPr>
      <w:r>
        <w:t xml:space="preserve">Stodden, V. 2010, The Scientific Method in Practice: Reproducibility in the Computational Sciences, Columbia University Academic Commons, Retrieved September 7, 2017, from</w:t>
      </w:r>
      <w:r>
        <w:t xml:space="preserve"> </w:t>
      </w:r>
      <w:hyperlink r:id="rId74">
        <w:r>
          <w:rPr>
            <w:rStyle w:val="Hyperlink"/>
          </w:rPr>
          <w:t xml:space="preserve">http://hdl.handle.net/10022/AC:P:11417</w:t>
        </w:r>
      </w:hyperlink>
      <w:r>
        <w:t xml:space="preserve">.</w:t>
      </w:r>
    </w:p>
    <w:p>
      <w:pPr>
        <w:pStyle w:val="BodyText"/>
      </w:pPr>
      <w:r>
        <w:t xml:space="preserve">Tenopir, C., Dalton, E. D., Allard, S., Frame, M., Pjesivac, I., Birch, B., … Dorsett, K. (2015). Changes in Data Sharing and Data Reuse Practices and Perceptions among Scientists Worldwide. PLOS ONE, 10(8), e0134826.</w:t>
      </w:r>
      <w:r>
        <w:t xml:space="preserve"> </w:t>
      </w:r>
      <w:hyperlink r:id="rId75">
        <w:r>
          <w:rPr>
            <w:rStyle w:val="Hyperlink"/>
          </w:rPr>
          <w:t xml:space="preserve">https://doi.org/10.1371/journal.pone.0134826</w:t>
        </w:r>
      </w:hyperlink>
    </w:p>
    <w:p>
      <w:pPr>
        <w:pStyle w:val="BodyText"/>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76">
        <w:r>
          <w:rPr>
            <w:rStyle w:val="Hyperlink"/>
          </w:rPr>
          <w:t xml:space="preserve">https://doi.org/10.1111/j.1748-720X.2007.00163.x</w:t>
        </w:r>
      </w:hyperlink>
    </w:p>
    <w:p>
      <w:pPr>
        <w:pStyle w:val="BodyText"/>
      </w:pPr>
      <w:r>
        <w:t xml:space="preserve">Uhlir, P.F., &amp; Cohen, D. (2011). Internal document. Board on Research Data and Information, Policy and Global Affairs Division, National Academy of Sciences. 18 March 2011.</w:t>
      </w:r>
    </w:p>
    <w:p>
      <w:pPr>
        <w:pStyle w:val="BodyText"/>
      </w:pPr>
      <w:r>
        <w:t xml:space="preserve">UK Archaeology Data Service. (n.d.). Guides to Good Practice: Main. Retrieved September 7, 2017, from</w:t>
      </w:r>
      <w:r>
        <w:t xml:space="preserve"> </w:t>
      </w:r>
      <w:hyperlink r:id="rId77">
        <w:r>
          <w:rPr>
            <w:rStyle w:val="Hyperlink"/>
          </w:rPr>
          <w:t xml:space="preserve">http://guides.archaeologydataservice.ac.uk/</w:t>
        </w:r>
      </w:hyperlink>
    </w:p>
    <w:p>
      <w:pPr>
        <w:pStyle w:val="BodyText"/>
      </w:pPr>
      <w:r>
        <w:t xml:space="preserve">Vanpaemel, W., Vermorgen, M., Deriemaecker, L., &amp; Storms, G. (2015). Are We Wasting a Good Crisis? The Availability of Psychological Research Data after the Storm. Collabra, 1(1), Art. 3. DOI:</w:t>
      </w:r>
      <w:r>
        <w:t xml:space="preserve"> </w:t>
      </w:r>
      <w:hyperlink r:id="rId78">
        <w:r>
          <w:rPr>
            <w:rStyle w:val="Hyperlink"/>
          </w:rPr>
          <w:t xml:space="preserve">http://doi.org/10.1525/collabra.13</w:t>
        </w:r>
      </w:hyperlink>
    </w:p>
    <w:p>
      <w:pPr>
        <w:pStyle w:val="BodyText"/>
      </w:pPr>
      <w:r>
        <w:t xml:space="preserve">Vines, Timothy H, et al. 2014 The Availability of Research Data Declines Rapidly with Article Age. Current Biology 24(1):94-97.</w:t>
      </w:r>
    </w:p>
    <w:p>
      <w:pPr>
        <w:pStyle w:val="BodyText"/>
      </w:pPr>
      <w:r>
        <w:t xml:space="preserve">Vitelli, K. D., &amp; Colwell-Chanthaphonh, J. S. (Eds.). (2006). Archaeological ethics. Rowman Altamira.</w:t>
      </w:r>
    </w:p>
    <w:p>
      <w:pPr>
        <w:pStyle w:val="BodyText"/>
      </w:pPr>
      <w:r>
        <w:t xml:space="preserve">Wallis, J. C., Rolando, E., &amp; Borgman, C. L. (2013). If We Share Data, Will Anyone Use Them? Data Sharing and Reuse in the Long Tail of Science and Technology. PLoS ONE, 8(7), e67332.</w:t>
      </w:r>
      <w:r>
        <w:t xml:space="preserve"> </w:t>
      </w:r>
      <w:hyperlink r:id="rId79">
        <w:r>
          <w:rPr>
            <w:rStyle w:val="Hyperlink"/>
          </w:rPr>
          <w:t xml:space="preserve">doi:10.1371/journal.pone.0067332</w:t>
        </w:r>
      </w:hyperlink>
    </w:p>
    <w:p>
      <w:pPr>
        <w:pStyle w:val="BodyText"/>
      </w:pPr>
      <w:r>
        <w:t xml:space="preserve">White E, Baldridge E, Brym Z, Locey K, McGlinn D, Supp S. (2013) Nine simple ways to make it easier to (re)use your data. Ideas in Ecology and Evolution. 2013;6: 1–10. doi: 10.4033/iee.2013.6b.6.f.</w:t>
      </w:r>
    </w:p>
    <w:p>
      <w:pPr>
        <w:pStyle w:val="BodyText"/>
      </w:pPr>
      <w:r>
        <w:t xml:space="preserve">Wicherts, J. M., Borsboom, D., Kats, J., &amp; Molenaar, D. (2006). The poor availability of psychological research data for reanalysis. American Psychologist, 61(7), 726.</w:t>
      </w:r>
    </w:p>
    <w:p>
      <w:pPr>
        <w:pStyle w:val="BodyText"/>
      </w:pPr>
      <w:r>
        <w:t xml:space="preserve">Wilkinson, M. D., Dumontier, M., Aalbersberg, Ij. J., Appleton, G., Axton, M., Baak, A., Bourne, P. E. (2016). The FAIR Guiding Principles for scientific data management and stewardship. Scientific Data, 3, 160018.</w:t>
      </w:r>
      <w:r>
        <w:t xml:space="preserve"> </w:t>
      </w:r>
      <w:hyperlink r:id="rId80">
        <w:r>
          <w:rPr>
            <w:rStyle w:val="Hyperlink"/>
          </w:rPr>
          <w:t xml:space="preserve">https://doi.org/10.1038/sdata.2016.18</w:t>
        </w:r>
      </w:hyperlink>
    </w:p>
    <w:p>
      <w:pPr>
        <w:pStyle w:val="BodyText"/>
      </w:pPr>
      <w:r>
        <w:t xml:space="preserve">Womack RP (2015) Research Data in Core Journals in Biology, Chemistry, Mathematics, and Physics. PLOS ONE 10(12): e0143460. doi: 10.1371/journal.pone.0143460</w:t>
      </w:r>
    </w:p>
    <w:p>
      <w:pPr>
        <w:pStyle w:val="BodyText"/>
      </w:pPr>
      <w:r>
        <w:t xml:space="preserve">Zimmerman, L. J., Vitelli, K. D., &amp; Hollowell-Zimmer, J. (Eds.). (2003). Ethical issues in archaeology. Rowman Altamira.</w:t>
      </w:r>
    </w:p>
    <w:p>
      <w:pPr>
        <w:pStyle w:val="Heading3"/>
      </w:pPr>
      <w:bookmarkStart w:id="81" w:name="colophon"/>
      <w:bookmarkEnd w:id="81"/>
      <w:r>
        <w:t xml:space="preserve">Colophon</w:t>
      </w:r>
    </w:p>
    <w:p>
      <w:pPr>
        <w:pStyle w:val="FirstParagraph"/>
      </w:pPr>
      <w:r>
        <w:t xml:space="preserve">This report was generated on 2017-09-13 14:10:48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2017-09-13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3.4.0)                     </w:t>
      </w:r>
      <w:r>
        <w:br w:type="textWrapping"/>
      </w:r>
      <w:r>
        <w:rPr>
          <w:rStyle w:val="VerbatimChar"/>
        </w:rPr>
        <w:t xml:space="preserve">#&gt;  backports      1.1.0      2017-05-22 CRAN (R 3.4.0)                     </w:t>
      </w:r>
      <w:r>
        <w:br w:type="textWrapping"/>
      </w:r>
      <w:r>
        <w:rPr>
          <w:rStyle w:val="VerbatimChar"/>
        </w:rPr>
        <w:t xml:space="preserve">#&gt;  base         * 3.4.1      2017-06-30 local                              </w:t>
      </w:r>
      <w:r>
        <w:br w:type="textWrapping"/>
      </w:r>
      <w:r>
        <w:rPr>
          <w:rStyle w:val="VerbatimChar"/>
        </w:rPr>
        <w:t xml:space="preserve">#&gt;  bindr          0.1        2016-11-13 CRAN (R 3.4.0)                     </w:t>
      </w:r>
      <w:r>
        <w:br w:type="textWrapping"/>
      </w:r>
      <w:r>
        <w:rPr>
          <w:rStyle w:val="VerbatimChar"/>
        </w:rPr>
        <w:t xml:space="preserve">#&gt;  bindrcpp     * 0.2        2017-06-17 CRAN (R 3.4.0)                     </w:t>
      </w:r>
      <w:r>
        <w:br w:type="textWrapping"/>
      </w:r>
      <w:r>
        <w:rPr>
          <w:rStyle w:val="VerbatimChar"/>
        </w:rPr>
        <w:t xml:space="preserve">#&gt;  bookdown       0.5        2017-08-20 CRAN (R 3.4.1)                     </w:t>
      </w:r>
      <w:r>
        <w:br w:type="textWrapping"/>
      </w:r>
      <w:r>
        <w:rPr>
          <w:rStyle w:val="VerbatimChar"/>
        </w:rPr>
        <w:t xml:space="preserve">#&gt;  broom          0.4.2      2017-02-13 CRAN (R 3.4.0)                     </w:t>
      </w:r>
      <w:r>
        <w:br w:type="textWrapping"/>
      </w:r>
      <w:r>
        <w:rPr>
          <w:rStyle w:val="VerbatimChar"/>
        </w:rPr>
        <w:t xml:space="preserve">#&gt;  cellranger     1.1.0.9000 2017-05-31 Github (rsheets/cellranger@024d5ba)</w:t>
      </w:r>
      <w:r>
        <w:br w:type="textWrapping"/>
      </w:r>
      <w:r>
        <w:rPr>
          <w:rStyle w:val="VerbatimChar"/>
        </w:rPr>
        <w:t xml:space="preserve">#&gt;  changepoint  * 2.2.2      2016-10-04 CRAN (R 3.4.1)                     </w:t>
      </w:r>
      <w:r>
        <w:br w:type="textWrapping"/>
      </w:r>
      <w:r>
        <w:rPr>
          <w:rStyle w:val="VerbatimChar"/>
        </w:rPr>
        <w:t xml:space="preserve">#&gt;  colorspace     1.3-2      2016-12-14 CRAN (R 3.4.0)                     </w:t>
      </w:r>
      <w:r>
        <w:br w:type="textWrapping"/>
      </w:r>
      <w:r>
        <w:rPr>
          <w:rStyle w:val="VerbatimChar"/>
        </w:rPr>
        <w:t xml:space="preserve">#&gt;  compiler       3.4.1      2017-06-30 local                              </w:t>
      </w:r>
      <w:r>
        <w:br w:type="textWrapping"/>
      </w:r>
      <w:r>
        <w:rPr>
          <w:rStyle w:val="VerbatimChar"/>
        </w:rPr>
        <w:t xml:space="preserve">#&gt;  cowplot      * 0.8.0      2017-07-30 CRAN (R 3.4.1)                     </w:t>
      </w:r>
      <w:r>
        <w:br w:type="textWrapping"/>
      </w:r>
      <w:r>
        <w:rPr>
          <w:rStyle w:val="VerbatimChar"/>
        </w:rPr>
        <w:t xml:space="preserve">#&gt;  datacitation * 0.0.0.9000 2017-09-13 local                              </w:t>
      </w:r>
      <w:r>
        <w:br w:type="textWrapping"/>
      </w:r>
      <w:r>
        <w:rPr>
          <w:rStyle w:val="VerbatimChar"/>
        </w:rPr>
        <w:t xml:space="preserve">#&gt;  datasets     * 3.4.1      2017-06-30 local                              </w:t>
      </w:r>
      <w:r>
        <w:br w:type="textWrapping"/>
      </w:r>
      <w:r>
        <w:rPr>
          <w:rStyle w:val="VerbatimChar"/>
        </w:rPr>
        <w:t xml:space="preserve">#&gt;  devtools       1.13.3     2017-08-02 CRAN (R 3.4.1)                     </w:t>
      </w:r>
      <w:r>
        <w:br w:type="textWrapping"/>
      </w:r>
      <w:r>
        <w:rPr>
          <w:rStyle w:val="VerbatimChar"/>
        </w:rPr>
        <w:t xml:space="preserve">#&gt;  digest         0.6.12     2017-01-27 CRAN (R 3.4.0)                     </w:t>
      </w:r>
      <w:r>
        <w:br w:type="textWrapping"/>
      </w:r>
      <w:r>
        <w:rPr>
          <w:rStyle w:val="VerbatimChar"/>
        </w:rPr>
        <w:t xml:space="preserve">#&gt;  dplyr        * 0.7.3      2017-09-07 local                              </w:t>
      </w:r>
      <w:r>
        <w:br w:type="textWrapping"/>
      </w:r>
      <w:r>
        <w:rPr>
          <w:rStyle w:val="VerbatimChar"/>
        </w:rPr>
        <w:t xml:space="preserve">#&gt;  evaluate       0.10.1     2017-06-24 CRAN (R 3.4.0)                     </w:t>
      </w:r>
      <w:r>
        <w:br w:type="textWrapping"/>
      </w:r>
      <w:r>
        <w:rPr>
          <w:rStyle w:val="VerbatimChar"/>
        </w:rPr>
        <w:t xml:space="preserve">#&gt;  forcats        0.2.0      2017-01-23 CRAN (R 3.4.0)                     </w:t>
      </w:r>
      <w:r>
        <w:br w:type="textWrapping"/>
      </w:r>
      <w:r>
        <w:rPr>
          <w:rStyle w:val="VerbatimChar"/>
        </w:rPr>
        <w:t xml:space="preserve">#&gt;  foreign        0.8-69     2017-06-21 CRAN (R 3.4.0)                     </w:t>
      </w:r>
      <w:r>
        <w:br w:type="textWrapping"/>
      </w:r>
      <w:r>
        <w:rPr>
          <w:rStyle w:val="VerbatimChar"/>
        </w:rPr>
        <w:t xml:space="preserve">#&gt;  ggplot2      * 2.2.1.9000 2017-09-07 Github (tidyverse/ggplot2@c592e32) </w:t>
      </w:r>
      <w:r>
        <w:br w:type="textWrapping"/>
      </w:r>
      <w:r>
        <w:rPr>
          <w:rStyle w:val="VerbatimChar"/>
        </w:rPr>
        <w:t xml:space="preserve">#&gt;  glue           1.1.1      2017-06-21 CRAN (R 3.4.0)                     </w:t>
      </w:r>
      <w:r>
        <w:br w:type="textWrapping"/>
      </w:r>
      <w:r>
        <w:rPr>
          <w:rStyle w:val="VerbatimChar"/>
        </w:rPr>
        <w:t xml:space="preserve">#&gt;  graphics     * 3.4.1      2017-06-30 local                              </w:t>
      </w:r>
      <w:r>
        <w:br w:type="textWrapping"/>
      </w:r>
      <w:r>
        <w:rPr>
          <w:rStyle w:val="VerbatimChar"/>
        </w:rPr>
        <w:t xml:space="preserve">#&gt;  grDevices    * 3.4.1      2017-06-30 local                              </w:t>
      </w:r>
      <w:r>
        <w:br w:type="textWrapping"/>
      </w:r>
      <w:r>
        <w:rPr>
          <w:rStyle w:val="VerbatimChar"/>
        </w:rPr>
        <w:t xml:space="preserve">#&gt;  grid         * 3.4.1      2017-06-30 local                              </w:t>
      </w:r>
      <w:r>
        <w:br w:type="textWrapping"/>
      </w:r>
      <w:r>
        <w:rPr>
          <w:rStyle w:val="VerbatimChar"/>
        </w:rPr>
        <w:t xml:space="preserve">#&gt;  gridExtra    * 2.2.1      2016-02-29 CRAN (R 3.4.0)                     </w:t>
      </w:r>
      <w:r>
        <w:br w:type="textWrapping"/>
      </w:r>
      <w:r>
        <w:rPr>
          <w:rStyle w:val="VerbatimChar"/>
        </w:rPr>
        <w:t xml:space="preserve">#&gt;  gtable       * 0.2.0      2016-02-26 CRAN (R 3.4.0)                     </w:t>
      </w:r>
      <w:r>
        <w:br w:type="textWrapping"/>
      </w:r>
      <w:r>
        <w:rPr>
          <w:rStyle w:val="VerbatimChar"/>
        </w:rPr>
        <w:t xml:space="preserve">#&gt;  haven          1.1.0      2017-07-09 CRAN (R 3.4.1)                     </w:t>
      </w:r>
      <w:r>
        <w:br w:type="textWrapping"/>
      </w:r>
      <w:r>
        <w:rPr>
          <w:rStyle w:val="VerbatimChar"/>
        </w:rPr>
        <w:t xml:space="preserve">#&gt;  highr          0.6        2016-05-09 CRAN (R 3.4.0)                     </w:t>
      </w:r>
      <w:r>
        <w:br w:type="textWrapping"/>
      </w:r>
      <w:r>
        <w:rPr>
          <w:rStyle w:val="VerbatimChar"/>
        </w:rPr>
        <w:t xml:space="preserve">#&gt;  hms            0.3        2016-11-22 CRAN (R 3.4.0)                     </w:t>
      </w:r>
      <w:r>
        <w:br w:type="textWrapping"/>
      </w:r>
      <w:r>
        <w:rPr>
          <w:rStyle w:val="VerbatimChar"/>
        </w:rPr>
        <w:t xml:space="preserve">#&gt;  htmltools      0.3.6      2017-04-28 CRAN (R 3.4.0)                     </w:t>
      </w:r>
      <w:r>
        <w:br w:type="textWrapping"/>
      </w:r>
      <w:r>
        <w:rPr>
          <w:rStyle w:val="VerbatimChar"/>
        </w:rPr>
        <w:t xml:space="preserve">#&gt;  httr           1.3.1      2017-08-20 CRAN (R 3.4.1)                     </w:t>
      </w:r>
      <w:r>
        <w:br w:type="textWrapping"/>
      </w:r>
      <w:r>
        <w:rPr>
          <w:rStyle w:val="VerbatimChar"/>
        </w:rPr>
        <w:t xml:space="preserve">#&gt;  jsonlite       1.5        2017-06-01 CRAN (R 3.4.0)                     </w:t>
      </w:r>
      <w:r>
        <w:br w:type="textWrapping"/>
      </w:r>
      <w:r>
        <w:rPr>
          <w:rStyle w:val="VerbatimChar"/>
        </w:rPr>
        <w:t xml:space="preserve">#&gt;  knitr          1.17       2017-08-10 CRAN (R 3.4.1)                     </w:t>
      </w:r>
      <w:r>
        <w:br w:type="textWrapping"/>
      </w:r>
      <w:r>
        <w:rPr>
          <w:rStyle w:val="VerbatimChar"/>
        </w:rPr>
        <w:t xml:space="preserve">#&gt;  labeling       0.3        2014-08-23 CRAN (R 3.4.0)                     </w:t>
      </w:r>
      <w:r>
        <w:br w:type="textWrapping"/>
      </w:r>
      <w:r>
        <w:rPr>
          <w:rStyle w:val="VerbatimChar"/>
        </w:rPr>
        <w:t xml:space="preserve">#&gt;  lattice        0.20-35    2017-03-25 CRAN (R 3.4.1)                     </w:t>
      </w:r>
      <w:r>
        <w:br w:type="textWrapping"/>
      </w:r>
      <w:r>
        <w:rPr>
          <w:rStyle w:val="VerbatimChar"/>
        </w:rPr>
        <w:t xml:space="preserve">#&gt;  lazyeval       0.2.0      2016-06-12 CRAN (R 3.4.0)                     </w:t>
      </w:r>
      <w:r>
        <w:br w:type="textWrapping"/>
      </w:r>
      <w:r>
        <w:rPr>
          <w:rStyle w:val="VerbatimChar"/>
        </w:rPr>
        <w:t xml:space="preserve">#&gt;  lubridate      1.6.0      2016-09-13 CRAN (R 3.4.0)                     </w:t>
      </w:r>
      <w:r>
        <w:br w:type="textWrapping"/>
      </w:r>
      <w:r>
        <w:rPr>
          <w:rStyle w:val="VerbatimChar"/>
        </w:rPr>
        <w:t xml:space="preserve">#&gt;  magrittr       1.5        2014-11-22 CRAN (R 3.4.0)                     </w:t>
      </w:r>
      <w:r>
        <w:br w:type="textWrapping"/>
      </w:r>
      <w:r>
        <w:rPr>
          <w:rStyle w:val="VerbatimChar"/>
        </w:rPr>
        <w:t xml:space="preserve">#&gt;  memoise        1.1.0      2017-04-21 CRAN (R 3.4.0)                     </w:t>
      </w:r>
      <w:r>
        <w:br w:type="textWrapping"/>
      </w:r>
      <w:r>
        <w:rPr>
          <w:rStyle w:val="VerbatimChar"/>
        </w:rPr>
        <w:t xml:space="preserve">#&gt;  methods      * 3.4.1      2017-06-30 local                              </w:t>
      </w:r>
      <w:r>
        <w:br w:type="textWrapping"/>
      </w:r>
      <w:r>
        <w:rPr>
          <w:rStyle w:val="VerbatimChar"/>
        </w:rPr>
        <w:t xml:space="preserve">#&gt;  mnormt         1.5-5      2016-10-15 CRAN (R 3.4.0)                     </w:t>
      </w:r>
      <w:r>
        <w:br w:type="textWrapping"/>
      </w:r>
      <w:r>
        <w:rPr>
          <w:rStyle w:val="VerbatimChar"/>
        </w:rPr>
        <w:t xml:space="preserve">#&gt;  modelr         0.1.1      2017-07-24 CRAN (R 3.4.1)                     </w:t>
      </w:r>
      <w:r>
        <w:br w:type="textWrapping"/>
      </w:r>
      <w:r>
        <w:rPr>
          <w:rStyle w:val="VerbatimChar"/>
        </w:rPr>
        <w:t xml:space="preserve">#&gt;  munsell        0.4.3      2016-02-13 CRAN (R 3.4.0)                     </w:t>
      </w:r>
      <w:r>
        <w:br w:type="textWrapping"/>
      </w:r>
      <w:r>
        <w:rPr>
          <w:rStyle w:val="VerbatimChar"/>
        </w:rPr>
        <w:t xml:space="preserve">#&gt;  nlme           3.1-131    2017-02-06 CRAN (R 3.4.1)                     </w:t>
      </w:r>
      <w:r>
        <w:br w:type="textWrapping"/>
      </w:r>
      <w:r>
        <w:rPr>
          <w:rStyle w:val="VerbatimChar"/>
        </w:rPr>
        <w:t xml:space="preserve">#&gt;  parallel       3.4.1      2017-06-30 local                              </w:t>
      </w:r>
      <w:r>
        <w:br w:type="textWrapping"/>
      </w:r>
      <w:r>
        <w:rPr>
          <w:rStyle w:val="VerbatimChar"/>
        </w:rPr>
        <w:t xml:space="preserve">#&gt;  pkgconfig      2.0.1      2017-03-21 CRAN (R 3.4.0)                     </w:t>
      </w:r>
      <w:r>
        <w:br w:type="textWrapping"/>
      </w:r>
      <w:r>
        <w:rPr>
          <w:rStyle w:val="VerbatimChar"/>
        </w:rPr>
        <w:t xml:space="preserve">#&gt;  plyr           1.8.4      2016-06-08 CRAN (R 3.4.0)                     </w:t>
      </w:r>
      <w:r>
        <w:br w:type="textWrapping"/>
      </w:r>
      <w:r>
        <w:rPr>
          <w:rStyle w:val="VerbatimChar"/>
        </w:rPr>
        <w:t xml:space="preserve">#&gt;  png            0.1-7      2013-12-03 CRAN (R 3.4.0)                     </w:t>
      </w:r>
      <w:r>
        <w:br w:type="textWrapping"/>
      </w:r>
      <w:r>
        <w:rPr>
          <w:rStyle w:val="VerbatimChar"/>
        </w:rPr>
        <w:t xml:space="preserve">#&gt;  psych          1.7.5      2017-05-03 CRAN (R 3.4.0)                     </w:t>
      </w:r>
      <w:r>
        <w:br w:type="textWrapping"/>
      </w:r>
      <w:r>
        <w:rPr>
          <w:rStyle w:val="VerbatimChar"/>
        </w:rPr>
        <w:t xml:space="preserve">#&gt;  purrr        * 0.2.3      2017-08-02 CRAN (R 3.4.1)                     </w:t>
      </w:r>
      <w:r>
        <w:br w:type="textWrapping"/>
      </w:r>
      <w:r>
        <w:rPr>
          <w:rStyle w:val="VerbatimChar"/>
        </w:rPr>
        <w:t xml:space="preserve">#&gt;  R6             2.2.2      2017-06-17 CRAN (R 3.4.0)                     </w:t>
      </w:r>
      <w:r>
        <w:br w:type="textWrapping"/>
      </w:r>
      <w:r>
        <w:rPr>
          <w:rStyle w:val="VerbatimChar"/>
        </w:rPr>
        <w:t xml:space="preserve">#&gt;  Rcpp           0.12.12    2017-07-15 CRAN (R 3.4.1)                     </w:t>
      </w:r>
      <w:r>
        <w:br w:type="textWrapping"/>
      </w:r>
      <w:r>
        <w:rPr>
          <w:rStyle w:val="VerbatimChar"/>
        </w:rPr>
        <w:t xml:space="preserve">#&gt;  readr        * 1.1.1      2017-05-16 CRAN (R 3.4.0)                     </w:t>
      </w:r>
      <w:r>
        <w:br w:type="textWrapping"/>
      </w:r>
      <w:r>
        <w:rPr>
          <w:rStyle w:val="VerbatimChar"/>
        </w:rPr>
        <w:t xml:space="preserve">#&gt;  readxl         1.0.0      2017-04-18 CRAN (R 3.4.0)                     </w:t>
      </w:r>
      <w:r>
        <w:br w:type="textWrapping"/>
      </w:r>
      <w:r>
        <w:rPr>
          <w:rStyle w:val="VerbatimChar"/>
        </w:rPr>
        <w:t xml:space="preserve">#&gt;  reshape2       1.4.2      2016-10-22 CRAN (R 3.4.0)                     </w:t>
      </w:r>
      <w:r>
        <w:br w:type="textWrapping"/>
      </w:r>
      <w:r>
        <w:rPr>
          <w:rStyle w:val="VerbatimChar"/>
        </w:rPr>
        <w:t xml:space="preserve">#&gt;  rlang          0.1.2      2017-08-09 CRAN (R 3.4.1)                     </w:t>
      </w:r>
      <w:r>
        <w:br w:type="textWrapping"/>
      </w:r>
      <w:r>
        <w:rPr>
          <w:rStyle w:val="VerbatimChar"/>
        </w:rPr>
        <w:t xml:space="preserve">#&gt;  rmarkdown      1.6        2017-06-15 CRAN (R 3.4.0)                     </w:t>
      </w:r>
      <w:r>
        <w:br w:type="textWrapping"/>
      </w:r>
      <w:r>
        <w:rPr>
          <w:rStyle w:val="VerbatimChar"/>
        </w:rPr>
        <w:t xml:space="preserve">#&gt;  rprojroot      1.2        2017-01-16 CRAN (R 3.4.0)                     </w:t>
      </w:r>
      <w:r>
        <w:br w:type="textWrapping"/>
      </w:r>
      <w:r>
        <w:rPr>
          <w:rStyle w:val="VerbatimChar"/>
        </w:rPr>
        <w:t xml:space="preserve">#&gt;  rvest          0.3.2      2016-06-17 CRAN (R 3.4.0)                     </w:t>
      </w:r>
      <w:r>
        <w:br w:type="textWrapping"/>
      </w:r>
      <w:r>
        <w:rPr>
          <w:rStyle w:val="VerbatimChar"/>
        </w:rPr>
        <w:t xml:space="preserve">#&gt;  scales         0.5.0.9000 2017-09-07 Github (hadley/scales@d767915)     </w:t>
      </w:r>
      <w:r>
        <w:br w:type="textWrapping"/>
      </w:r>
      <w:r>
        <w:rPr>
          <w:rStyle w:val="VerbatimChar"/>
        </w:rPr>
        <w:t xml:space="preserve">#&gt;  stats        * 3.4.1      2017-06-30 local                              </w:t>
      </w:r>
      <w:r>
        <w:br w:type="textWrapping"/>
      </w:r>
      <w:r>
        <w:rPr>
          <w:rStyle w:val="VerbatimChar"/>
        </w:rPr>
        <w:t xml:space="preserve">#&gt;  stringi        1.1.5      2017-04-07 CRAN (R 3.4.0)                     </w:t>
      </w:r>
      <w:r>
        <w:br w:type="textWrapping"/>
      </w:r>
      <w:r>
        <w:rPr>
          <w:rStyle w:val="VerbatimChar"/>
        </w:rPr>
        <w:t xml:space="preserve">#&gt;  stringr      * 1.2.0      2017-02-18 CRAN (R 3.4.0)                     </w:t>
      </w:r>
      <w:r>
        <w:br w:type="textWrapping"/>
      </w:r>
      <w:r>
        <w:rPr>
          <w:rStyle w:val="VerbatimChar"/>
        </w:rPr>
        <w:t xml:space="preserve">#&gt;  tibble       * 1.3.4      2017-08-22 CRAN (R 3.4.1)                     </w:t>
      </w:r>
      <w:r>
        <w:br w:type="textWrapping"/>
      </w:r>
      <w:r>
        <w:rPr>
          <w:rStyle w:val="VerbatimChar"/>
        </w:rPr>
        <w:t xml:space="preserve">#&gt;  tidyr        * 0.7.1      2017-09-01 CRAN (R 3.4.1)                     </w:t>
      </w:r>
      <w:r>
        <w:br w:type="textWrapping"/>
      </w:r>
      <w:r>
        <w:rPr>
          <w:rStyle w:val="VerbatimChar"/>
        </w:rPr>
        <w:t xml:space="preserve">#&gt;  tidyselect     0.2.0      2017-08-30 CRAN (R 3.4.1)                     </w:t>
      </w:r>
      <w:r>
        <w:br w:type="textWrapping"/>
      </w:r>
      <w:r>
        <w:rPr>
          <w:rStyle w:val="VerbatimChar"/>
        </w:rPr>
        <w:t xml:space="preserve">#&gt;  tidyverse    * 1.1.1      2017-01-27 CRAN (R 3.4.1)                     </w:t>
      </w:r>
      <w:r>
        <w:br w:type="textWrapping"/>
      </w:r>
      <w:r>
        <w:rPr>
          <w:rStyle w:val="VerbatimChar"/>
        </w:rPr>
        <w:t xml:space="preserve">#&gt;  tools          3.4.1      2017-06-30 local                              </w:t>
      </w:r>
      <w:r>
        <w:br w:type="textWrapping"/>
      </w:r>
      <w:r>
        <w:rPr>
          <w:rStyle w:val="VerbatimChar"/>
        </w:rPr>
        <w:t xml:space="preserve">#&gt;  utils        * 3.4.1      2017-06-30 local                              </w:t>
      </w:r>
      <w:r>
        <w:br w:type="textWrapping"/>
      </w:r>
      <w:r>
        <w:rPr>
          <w:rStyle w:val="VerbatimChar"/>
        </w:rPr>
        <w:t xml:space="preserve">#&gt;  viridis      * 0.4.0      2017-03-27 CRAN (R 3.4.0)                     </w:t>
      </w:r>
      <w:r>
        <w:br w:type="textWrapping"/>
      </w:r>
      <w:r>
        <w:rPr>
          <w:rStyle w:val="VerbatimChar"/>
        </w:rPr>
        <w:t xml:space="preserve">#&gt;  viridisLite  * 0.2.0      2017-03-24 CRAN (R 3.4.0)                     </w:t>
      </w:r>
      <w:r>
        <w:br w:type="textWrapping"/>
      </w:r>
      <w:r>
        <w:rPr>
          <w:rStyle w:val="VerbatimChar"/>
        </w:rPr>
        <w:t xml:space="preserve">#&gt;  withr          2.0.0      2017-09-05 Github (jimhester/withr@eff4818)   </w:t>
      </w:r>
      <w:r>
        <w:br w:type="textWrapping"/>
      </w:r>
      <w:r>
        <w:rPr>
          <w:rStyle w:val="VerbatimChar"/>
        </w:rPr>
        <w:t xml:space="preserve">#&gt;  xml2           1.1.1      2017-01-24 CRAN (R 3.4.1)                     </w:t>
      </w:r>
      <w:r>
        <w:br w:type="textWrapping"/>
      </w:r>
      <w:r>
        <w:rPr>
          <w:rStyle w:val="VerbatimChar"/>
        </w:rPr>
        <w:t xml:space="preserve">#&gt;  yaml           2.1.14     2016-11-12 CRAN (R 3.4.0)                     </w:t>
      </w:r>
      <w:r>
        <w:br w:type="textWrapping"/>
      </w:r>
      <w:r>
        <w:rPr>
          <w:rStyle w:val="VerbatimChar"/>
        </w:rPr>
        <w:t xml:space="preserve">#&gt;  zoo          * 1.8-0      2017-04-12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[7114850] 2017-09-12: add para on repro and open materials with DOI for this paper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27e9ca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1eef32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53" Target="doi:10.1002/asi.22634" TargetMode="External" /><Relationship Type="http://schemas.openxmlformats.org/officeDocument/2006/relationships/hyperlink" Id="rId79" Target="doi:10.1371/journal.pone.0067332" TargetMode="External" /><Relationship Type="http://schemas.openxmlformats.org/officeDocument/2006/relationships/hyperlink" Id="rId52" Target="http://archaeologydataservice.ac.uk/arches/Wiki.jsp?page=ARCHES%20Introduction" TargetMode="External" /><Relationship Type="http://schemas.openxmlformats.org/officeDocument/2006/relationships/hyperlink" Id="rId78" Target="http://doi.org/10.1525/collabra.13" TargetMode="External" /><Relationship Type="http://schemas.openxmlformats.org/officeDocument/2006/relationships/hyperlink" Id="rId45" Target="http://doi.org/10.17605/OSF.IO/RTZTH" TargetMode="External" /><Relationship Type="http://schemas.openxmlformats.org/officeDocument/2006/relationships/hyperlink" Id="rId44" Target="http://doi.org/xxx/xxx" TargetMode="External" /><Relationship Type="http://schemas.openxmlformats.org/officeDocument/2006/relationships/hyperlink" Id="rId29" Target="http://dx.doi.org/10.17605/OSF.IO/KSRUZ" TargetMode="External" /><Relationship Type="http://schemas.openxmlformats.org/officeDocument/2006/relationships/hyperlink" Id="rId46" Target="http://dx.doi.org/10.17605/OSF.IO/RTZTH" TargetMode="External" /><Relationship Type="http://schemas.openxmlformats.org/officeDocument/2006/relationships/hyperlink" Id="rId77" Target="http://guides.archaeologydataservice.ac.uk/" TargetMode="External" /><Relationship Type="http://schemas.openxmlformats.org/officeDocument/2006/relationships/hyperlink" Id="rId74" Target="http://hdl.handle.net/10022/AC:P:11417" TargetMode="External" /><Relationship Type="http://schemas.openxmlformats.org/officeDocument/2006/relationships/hyperlink" Id="rId68" Target="http://journals.plos.org/plosmedicine/policies.php#sharing" TargetMode="External" /><Relationship Type="http://schemas.openxmlformats.org/officeDocument/2006/relationships/hyperlink" Id="rId62" Target="http://www.nsf.gov/pubs/2005/nsb0540/" TargetMode="External" /><Relationship Type="http://schemas.openxmlformats.org/officeDocument/2006/relationships/hyperlink" Id="rId40" Target="http://www.re3data.org" TargetMode="External" /><Relationship Type="http://schemas.openxmlformats.org/officeDocument/2006/relationships/hyperlink" Id="rId42" Target="https://doi.org" TargetMode="External" /><Relationship Type="http://schemas.openxmlformats.org/officeDocument/2006/relationships/hyperlink" Id="rId57" Target="https://doi.org/10.1038/nn.4550" TargetMode="External" /><Relationship Type="http://schemas.openxmlformats.org/officeDocument/2006/relationships/hyperlink" Id="rId80" Target="https://doi.org/10.1038/sdata.2016.18" TargetMode="External" /><Relationship Type="http://schemas.openxmlformats.org/officeDocument/2006/relationships/hyperlink" Id="rId76" Target="https://doi.org/10.1111/j.1748-720X.2007.00163.x" TargetMode="External" /><Relationship Type="http://schemas.openxmlformats.org/officeDocument/2006/relationships/hyperlink" Id="rId69" Target="https://doi.org/10.1186/s41073-017-0028-9" TargetMode="External" /><Relationship Type="http://schemas.openxmlformats.org/officeDocument/2006/relationships/hyperlink" Id="rId61" Target="https://doi.org/10.1371/journal.pbio.2001414" TargetMode="External" /><Relationship Type="http://schemas.openxmlformats.org/officeDocument/2006/relationships/hyperlink" Id="rId59" Target="https://doi.org/10.1371/journal.pcbi.1005097" TargetMode="External" /><Relationship Type="http://schemas.openxmlformats.org/officeDocument/2006/relationships/hyperlink" Id="rId66" Target="https://doi.org/10.1371/journal.pone.0000308" TargetMode="External" /><Relationship Type="http://schemas.openxmlformats.org/officeDocument/2006/relationships/hyperlink" Id="rId51" Target="https://doi.org/10.1371/journal.pone.0024357" TargetMode="External" /><Relationship Type="http://schemas.openxmlformats.org/officeDocument/2006/relationships/hyperlink" Id="rId75" Target="https://doi.org/10.1371/journal.pone.0134826" TargetMode="External" /><Relationship Type="http://schemas.openxmlformats.org/officeDocument/2006/relationships/hyperlink" Id="rId58" Target="https://doi.org/10.1371/journal.pone.0175583" TargetMode="External" /><Relationship Type="http://schemas.openxmlformats.org/officeDocument/2006/relationships/hyperlink" Id="rId54" Target="https://doi.org/10.1525/bio.2013.63.6.10" TargetMode="External" /><Relationship Type="http://schemas.openxmlformats.org/officeDocument/2006/relationships/hyperlink" Id="rId65" Target="https://doi.org/10.3897/rio.3.e12431" TargetMode="External" /><Relationship Type="http://schemas.openxmlformats.org/officeDocument/2006/relationships/hyperlink" Id="rId72" Target="https://doi.org/10.5060/D2251G48" TargetMode="External" /><Relationship Type="http://schemas.openxmlformats.org/officeDocument/2006/relationships/hyperlink" Id="rId71" Target="https://doi.org/10.6084/M9.FIGSHARE.1222998.V1" TargetMode="External" /><Relationship Type="http://schemas.openxmlformats.org/officeDocument/2006/relationships/hyperlink" Id="rId67" Target="https://doi.org/10.7717/peerj.175" TargetMode="External" /><Relationship Type="http://schemas.openxmlformats.org/officeDocument/2006/relationships/hyperlink" Id="rId43" Target="https://hdl.handle.net/" TargetMode="External" /><Relationship Type="http://schemas.openxmlformats.org/officeDocument/2006/relationships/hyperlink" Id="rId60" Target="https://introspectivedigitalarchaeology.wordpress.com/2017/05/23/citing-data-reuse/" TargetMode="External" /><Relationship Type="http://schemas.openxmlformats.org/officeDocument/2006/relationships/hyperlink" Id="rId73" Target="https://ssrn.com/abstract=1362040" TargetMode="External" /><Relationship Type="http://schemas.openxmlformats.org/officeDocument/2006/relationships/hyperlink" Id="rId55" Target="https://web.archive.org/web/20130125222940/https://www.elsevier.com/journals/journal-of-archaeological-science/0305-4403/guide-for-authors" TargetMode="External" /><Relationship Type="http://schemas.openxmlformats.org/officeDocument/2006/relationships/hyperlink" Id="rId70" Target="https://www.nature.com/sdata/policies/repositories" TargetMode="External" /><Relationship Type="http://schemas.openxmlformats.org/officeDocument/2006/relationships/hyperlink" Id="rId64" Target="https://www.nsf.gov/bfa/dias/policy/dmp.jsp" TargetMode="External" /><Relationship Type="http://schemas.openxmlformats.org/officeDocument/2006/relationships/hyperlink" Id="rId63" Target="https://www.nsf.gov/bfa/dias/policy/dmpfaqs.jsp#1" TargetMode="External" /><Relationship Type="http://schemas.openxmlformats.org/officeDocument/2006/relationships/hyperlink" Id="rId56" Target="https://www.tdar.org/news/2012/12/just-20-days-left-upload-your-archaeological-information-free-to-tdar/" TargetMode="External" /></Relationships>
</file>

<file path=word/_rels/footnotes.xml.rels><?xml version="1.0" encoding="UTF-8"?>
<Relationships xmlns="http://schemas.openxmlformats.org/package/2006/relationships"><Relationship Type="http://schemas.openxmlformats.org/officeDocument/2006/relationships/hyperlink" Id="rId53" Target="doi:10.1002/asi.22634" TargetMode="External" /><Relationship Type="http://schemas.openxmlformats.org/officeDocument/2006/relationships/hyperlink" Id="rId79" Target="doi:10.1371/journal.pone.0067332" TargetMode="External" /><Relationship Type="http://schemas.openxmlformats.org/officeDocument/2006/relationships/hyperlink" Id="rId52" Target="http://archaeologydataservice.ac.uk/arches/Wiki.jsp?page=ARCHES%20Introduction" TargetMode="External" /><Relationship Type="http://schemas.openxmlformats.org/officeDocument/2006/relationships/hyperlink" Id="rId78" Target="http://doi.org/10.1525/collabra.13" TargetMode="External" /><Relationship Type="http://schemas.openxmlformats.org/officeDocument/2006/relationships/hyperlink" Id="rId45" Target="http://doi.org/10.17605/OSF.IO/RTZTH" TargetMode="External" /><Relationship Type="http://schemas.openxmlformats.org/officeDocument/2006/relationships/hyperlink" Id="rId44" Target="http://doi.org/xxx/xxx" TargetMode="External" /><Relationship Type="http://schemas.openxmlformats.org/officeDocument/2006/relationships/hyperlink" Id="rId29" Target="http://dx.doi.org/10.17605/OSF.IO/KSRUZ" TargetMode="External" /><Relationship Type="http://schemas.openxmlformats.org/officeDocument/2006/relationships/hyperlink" Id="rId46" Target="http://dx.doi.org/10.17605/OSF.IO/RTZTH" TargetMode="External" /><Relationship Type="http://schemas.openxmlformats.org/officeDocument/2006/relationships/hyperlink" Id="rId77" Target="http://guides.archaeologydataservice.ac.uk/" TargetMode="External" /><Relationship Type="http://schemas.openxmlformats.org/officeDocument/2006/relationships/hyperlink" Id="rId74" Target="http://hdl.handle.net/10022/AC:P:11417" TargetMode="External" /><Relationship Type="http://schemas.openxmlformats.org/officeDocument/2006/relationships/hyperlink" Id="rId68" Target="http://journals.plos.org/plosmedicine/policies.php#sharing" TargetMode="External" /><Relationship Type="http://schemas.openxmlformats.org/officeDocument/2006/relationships/hyperlink" Id="rId62" Target="http://www.nsf.gov/pubs/2005/nsb0540/" TargetMode="External" /><Relationship Type="http://schemas.openxmlformats.org/officeDocument/2006/relationships/hyperlink" Id="rId40" Target="http://www.re3data.org" TargetMode="External" /><Relationship Type="http://schemas.openxmlformats.org/officeDocument/2006/relationships/hyperlink" Id="rId42" Target="https://doi.org" TargetMode="External" /><Relationship Type="http://schemas.openxmlformats.org/officeDocument/2006/relationships/hyperlink" Id="rId57" Target="https://doi.org/10.1038/nn.4550" TargetMode="External" /><Relationship Type="http://schemas.openxmlformats.org/officeDocument/2006/relationships/hyperlink" Id="rId80" Target="https://doi.org/10.1038/sdata.2016.18" TargetMode="External" /><Relationship Type="http://schemas.openxmlformats.org/officeDocument/2006/relationships/hyperlink" Id="rId76" Target="https://doi.org/10.1111/j.1748-720X.2007.00163.x" TargetMode="External" /><Relationship Type="http://schemas.openxmlformats.org/officeDocument/2006/relationships/hyperlink" Id="rId69" Target="https://doi.org/10.1186/s41073-017-0028-9" TargetMode="External" /><Relationship Type="http://schemas.openxmlformats.org/officeDocument/2006/relationships/hyperlink" Id="rId61" Target="https://doi.org/10.1371/journal.pbio.2001414" TargetMode="External" /><Relationship Type="http://schemas.openxmlformats.org/officeDocument/2006/relationships/hyperlink" Id="rId59" Target="https://doi.org/10.1371/journal.pcbi.1005097" TargetMode="External" /><Relationship Type="http://schemas.openxmlformats.org/officeDocument/2006/relationships/hyperlink" Id="rId66" Target="https://doi.org/10.1371/journal.pone.0000308" TargetMode="External" /><Relationship Type="http://schemas.openxmlformats.org/officeDocument/2006/relationships/hyperlink" Id="rId51" Target="https://doi.org/10.1371/journal.pone.0024357" TargetMode="External" /><Relationship Type="http://schemas.openxmlformats.org/officeDocument/2006/relationships/hyperlink" Id="rId75" Target="https://doi.org/10.1371/journal.pone.0134826" TargetMode="External" /><Relationship Type="http://schemas.openxmlformats.org/officeDocument/2006/relationships/hyperlink" Id="rId58" Target="https://doi.org/10.1371/journal.pone.0175583" TargetMode="External" /><Relationship Type="http://schemas.openxmlformats.org/officeDocument/2006/relationships/hyperlink" Id="rId54" Target="https://doi.org/10.1525/bio.2013.63.6.10" TargetMode="External" /><Relationship Type="http://schemas.openxmlformats.org/officeDocument/2006/relationships/hyperlink" Id="rId65" Target="https://doi.org/10.3897/rio.3.e12431" TargetMode="External" /><Relationship Type="http://schemas.openxmlformats.org/officeDocument/2006/relationships/hyperlink" Id="rId72" Target="https://doi.org/10.5060/D2251G48" TargetMode="External" /><Relationship Type="http://schemas.openxmlformats.org/officeDocument/2006/relationships/hyperlink" Id="rId71" Target="https://doi.org/10.6084/M9.FIGSHARE.1222998.V1" TargetMode="External" /><Relationship Type="http://schemas.openxmlformats.org/officeDocument/2006/relationships/hyperlink" Id="rId67" Target="https://doi.org/10.7717/peerj.175" TargetMode="External" /><Relationship Type="http://schemas.openxmlformats.org/officeDocument/2006/relationships/hyperlink" Id="rId43" Target="https://hdl.handle.net/" TargetMode="External" /><Relationship Type="http://schemas.openxmlformats.org/officeDocument/2006/relationships/hyperlink" Id="rId60" Target="https://introspectivedigitalarchaeology.wordpress.com/2017/05/23/citing-data-reuse/" TargetMode="External" /><Relationship Type="http://schemas.openxmlformats.org/officeDocument/2006/relationships/hyperlink" Id="rId73" Target="https://ssrn.com/abstract=1362040" TargetMode="External" /><Relationship Type="http://schemas.openxmlformats.org/officeDocument/2006/relationships/hyperlink" Id="rId55" Target="https://web.archive.org/web/20130125222940/https://www.elsevier.com/journals/journal-of-archaeological-science/0305-4403/guide-for-authors" TargetMode="External" /><Relationship Type="http://schemas.openxmlformats.org/officeDocument/2006/relationships/hyperlink" Id="rId70" Target="https://www.nature.com/sdata/policies/repositories" TargetMode="External" /><Relationship Type="http://schemas.openxmlformats.org/officeDocument/2006/relationships/hyperlink" Id="rId64" Target="https://www.nsf.gov/bfa/dias/policy/dmp.jsp" TargetMode="External" /><Relationship Type="http://schemas.openxmlformats.org/officeDocument/2006/relationships/hyperlink" Id="rId63" Target="https://www.nsf.gov/bfa/dias/policy/dmpfaqs.jsp#1" TargetMode="External" /><Relationship Type="http://schemas.openxmlformats.org/officeDocument/2006/relationships/hyperlink" Id="rId56" Target="https://www.tdar.org/news/2012/12/just-20-days-left-upload-your-archaeological-information-free-to-td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Ben Marwick; Suzanne E. Pilaar Birch</dc:creator>
  <dcterms:created xsi:type="dcterms:W3CDTF">2017-09-13T21:10:51Z</dcterms:created>
  <dcterms:modified xsi:type="dcterms:W3CDTF">2017-09-13T21:10:51Z</dcterms:modified>
</cp:coreProperties>
</file>