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Vorgehensweise: Querschnittsflächen und Volumina der Stäbe</w:t>
      </w:r>
    </w:p>
    <w:p>
      <w:pPr>
        <w:jc w:val="center"/>
      </w:pPr>
      <w:r>
        <w:rPr>
          <w:i/>
          <w:sz w:val="18"/>
        </w:rPr>
        <w:t>RH7 Stockerau · RFEM-Export „RH7 Stockerau Rhino Export from RFEM.3dm“ · Gruppe 01</w:t>
      </w:r>
    </w:p>
    <w:p>
      <w:pPr>
        <w:pStyle w:val="Heading1"/>
      </w:pPr>
      <w:r>
        <w:t>Ziel</w:t>
      </w:r>
    </w:p>
    <w:p>
      <w:pPr>
        <w:pStyle w:val="ListBullet"/>
      </w:pPr>
      <w:r>
        <w:t>Für jeden Stab des Pavillon-Modells die Querschnittsfläche A und das Volumen V bestimmen und als Excel-Tabelle sowie als dieses Word-Dokument in „Abgabe_23.10“ ablegen.</w:t>
      </w:r>
    </w:p>
    <w:p>
      <w:pPr>
        <w:pStyle w:val="Heading1"/>
      </w:pPr>
      <w:r>
        <w:t>Ausgangsdaten</w:t>
      </w:r>
    </w:p>
    <w:p>
      <w:pPr>
        <w:pStyle w:val="ListBullet"/>
      </w:pPr>
      <w:r>
        <w:t>Rhino-Modell: RFEM-Export mit 1.297 Objekten auf 336 Layern, Modelleinheit = Meter.</w:t>
      </w:r>
    </w:p>
    <w:p>
      <w:pPr>
        <w:pStyle w:val="ListBullet"/>
      </w:pPr>
      <w:r>
        <w:t>Stäbe sind als Achsen (Layer „…::MemberAxes::“, 736 Linien) und als Solids (Layer „…::Members::“, 561 Flächen) hinterlegt – je Stab genau eine Achse.</w:t>
      </w:r>
    </w:p>
    <w:p>
      <w:pPr>
        <w:pStyle w:val="ListBullet"/>
      </w:pPr>
      <w:r>
        <w:t>Ergebnis der Inventur: 736 Stäbe in 16 Querschnitten, Gesamtlänge 686,377 m.</w:t>
      </w:r>
    </w:p>
    <w:p>
      <w:pPr>
        <w:pStyle w:val="Heading1"/>
      </w:pPr>
      <w:r>
        <w:t>Schritte</w:t>
      </w:r>
    </w:p>
    <w:p>
      <w:pPr>
        <w:pStyle w:val="ListBullet"/>
      </w:pPr>
      <w:r>
        <w:t>Modell in Rhino 8 geladen (über MCP-Schnittstelle; das offene Rhino meldete sich nicht beim Tool-Router, daher Datei direkt aus dem Ordner „Data/“ geöffnet).</w:t>
      </w:r>
    </w:p>
    <w:p>
      <w:pPr>
        <w:pStyle w:val="ListBullet"/>
      </w:pPr>
      <w:r>
        <w:t>Alle Objekte per Python-Skript (RhinoCommon) nach Layer gruppiert und gezählt; Stab-Layer an „MemberAxes“ (Achsen) und „Members“ (Solids) identifiziert.</w:t>
      </w:r>
    </w:p>
    <w:p>
      <w:pPr>
        <w:pStyle w:val="ListBullet"/>
      </w:pPr>
      <w:r>
        <w:t>Anzahl Stäbe je Querschnitt = Anzahl der Stabachsen (Verhältnis 1:1).</w:t>
      </w:r>
    </w:p>
    <w:p>
      <w:pPr>
        <w:pStyle w:val="ListBullet"/>
      </w:pPr>
      <w:r>
        <w:t>Gesamtlänge je Querschnitt: Längen aller Achsenlinien mit Curve.GetLength() gemessen und summiert.</w:t>
      </w:r>
    </w:p>
    <w:p>
      <w:pPr>
        <w:pStyle w:val="ListBullet"/>
      </w:pPr>
      <w:r>
        <w:t>Querschnittsfläche A (nominal) aus der Profilbezeichnung berechnet: Flachstab = Breite x Dicke; RD 12 = π/4 x d²; Rectangle = a x b; RO 139.7x8.0 = π/4 x (D² − d²) mit d = D − 2 x Wanddicke.</w:t>
      </w:r>
    </w:p>
    <w:p>
      <w:pPr>
        <w:pStyle w:val="ListBullet"/>
      </w:pPr>
      <w:r>
        <w:t>Volumen rechnerisch: V = A x Gesamtlänge.</w:t>
      </w:r>
    </w:p>
    <w:p>
      <w:pPr>
        <w:pStyle w:val="ListBullet"/>
      </w:pPr>
      <w:r>
        <w:t>Volumen laut 3D-Modell: Volumen jedes Solids mit Brep.GetVolume() ermittelt und je Querschnitt summiert (561 Solids).</w:t>
      </w:r>
    </w:p>
    <w:p>
      <w:pPr>
        <w:pStyle w:val="ListBullet"/>
      </w:pPr>
      <w:r>
        <w:t>Prüfung: Kantenlängen der Solids ausgelesen – sie bestätigen die Nennquerschnitte (z. B. 275 x 12 mm, 500 x 500 mm).</w:t>
      </w:r>
    </w:p>
    <w:p>
      <w:pPr>
        <w:pStyle w:val="ListBullet"/>
      </w:pPr>
      <w:r>
        <w:t>Ergebnisse mit openpyxl als Excel- und mit python-docx als Word-Dokument exportiert.</w:t>
      </w:r>
    </w:p>
    <w:p>
      <w:pPr>
        <w:pStyle w:val="Heading1"/>
      </w:pPr>
      <w:r>
        <w:t>Ergebnis</w:t>
      </w:r>
    </w:p>
    <w:p>
      <w:r>
        <w:t>736 Stäbe · Gesamtlänge 686.377 m · Volumen rechnerisch 12.700 m³ · Volumen laut 3D-Modell 13.095 m³ (inkl. RD 12 berechnet).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Querschnitt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 (mm²)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Anzahl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 rechnerisch (m³)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 3D-Modell (m³)</w:t>
            </w:r>
          </w:p>
        </w:tc>
      </w:tr>
      <w:tr>
        <w:tc>
          <w:tcPr>
            <w:tcW w:type="dxa" w:w="1440"/>
          </w:tcPr>
          <w:p>
            <w:r>
              <w:t>Flat Bar 33.3/20</w:t>
            </w:r>
          </w:p>
        </w:tc>
        <w:tc>
          <w:tcPr>
            <w:tcW w:type="dxa" w:w="1440"/>
          </w:tcPr>
          <w:p>
            <w:r>
              <w:t>666,0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2,320</w:t>
            </w:r>
          </w:p>
        </w:tc>
        <w:tc>
          <w:tcPr>
            <w:tcW w:type="dxa" w:w="1440"/>
          </w:tcPr>
          <w:p>
            <w:r>
              <w:t>0,0015</w:t>
            </w:r>
          </w:p>
        </w:tc>
        <w:tc>
          <w:tcPr>
            <w:tcW w:type="dxa" w:w="1440"/>
          </w:tcPr>
          <w:p>
            <w:r>
              <w:t>0,0015</w:t>
            </w:r>
          </w:p>
        </w:tc>
      </w:tr>
      <w:tr>
        <w:tc>
          <w:tcPr>
            <w:tcW w:type="dxa" w:w="1440"/>
          </w:tcPr>
          <w:p>
            <w:r>
              <w:t>Flat Bar 162.5/12</w:t>
            </w:r>
          </w:p>
        </w:tc>
        <w:tc>
          <w:tcPr>
            <w:tcW w:type="dxa" w:w="1440"/>
          </w:tcPr>
          <w:p>
            <w:r>
              <w:t>1 950,0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13,639</w:t>
            </w:r>
          </w:p>
        </w:tc>
        <w:tc>
          <w:tcPr>
            <w:tcW w:type="dxa" w:w="1440"/>
          </w:tcPr>
          <w:p>
            <w:r>
              <w:t>0,0266</w:t>
            </w:r>
          </w:p>
        </w:tc>
        <w:tc>
          <w:tcPr>
            <w:tcW w:type="dxa" w:w="1440"/>
          </w:tcPr>
          <w:p>
            <w:r>
              <w:t>0,0234</w:t>
            </w:r>
          </w:p>
        </w:tc>
      </w:tr>
      <w:tr>
        <w:tc>
          <w:tcPr>
            <w:tcW w:type="dxa" w:w="1440"/>
          </w:tcPr>
          <w:p>
            <w:r>
              <w:t>Flat Bar 162.5/20</w:t>
            </w:r>
          </w:p>
        </w:tc>
        <w:tc>
          <w:tcPr>
            <w:tcW w:type="dxa" w:w="1440"/>
          </w:tcPr>
          <w:p>
            <w:r>
              <w:t>3 250,0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6,842</w:t>
            </w:r>
          </w:p>
        </w:tc>
        <w:tc>
          <w:tcPr>
            <w:tcW w:type="dxa" w:w="1440"/>
          </w:tcPr>
          <w:p>
            <w:r>
              <w:t>0,0222</w:t>
            </w:r>
          </w:p>
        </w:tc>
        <w:tc>
          <w:tcPr>
            <w:tcW w:type="dxa" w:w="1440"/>
          </w:tcPr>
          <w:p>
            <w:r>
              <w:t>0,0196</w:t>
            </w:r>
          </w:p>
        </w:tc>
      </w:tr>
      <w:tr>
        <w:tc>
          <w:tcPr>
            <w:tcW w:type="dxa" w:w="1440"/>
          </w:tcPr>
          <w:p>
            <w:r>
              <w:t>Flat Bar 175/12</w:t>
            </w:r>
          </w:p>
        </w:tc>
        <w:tc>
          <w:tcPr>
            <w:tcW w:type="dxa" w:w="1440"/>
          </w:tcPr>
          <w:p>
            <w:r>
              <w:t>2 100,0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29,587</w:t>
            </w:r>
          </w:p>
        </w:tc>
        <w:tc>
          <w:tcPr>
            <w:tcW w:type="dxa" w:w="1440"/>
          </w:tcPr>
          <w:p>
            <w:r>
              <w:t>0,0621</w:t>
            </w:r>
          </w:p>
        </w:tc>
        <w:tc>
          <w:tcPr>
            <w:tcW w:type="dxa" w:w="1440"/>
          </w:tcPr>
          <w:p>
            <w:r>
              <w:t>0,0530</w:t>
            </w:r>
          </w:p>
        </w:tc>
      </w:tr>
      <w:tr>
        <w:tc>
          <w:tcPr>
            <w:tcW w:type="dxa" w:w="1440"/>
          </w:tcPr>
          <w:p>
            <w:r>
              <w:t>Flat Bar 175/20</w:t>
            </w:r>
          </w:p>
        </w:tc>
        <w:tc>
          <w:tcPr>
            <w:tcW w:type="dxa" w:w="1440"/>
          </w:tcPr>
          <w:p>
            <w:r>
              <w:t>3 500,0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19,285</w:t>
            </w:r>
          </w:p>
        </w:tc>
        <w:tc>
          <w:tcPr>
            <w:tcW w:type="dxa" w:w="1440"/>
          </w:tcPr>
          <w:p>
            <w:r>
              <w:t>0,0675</w:t>
            </w:r>
          </w:p>
        </w:tc>
        <w:tc>
          <w:tcPr>
            <w:tcW w:type="dxa" w:w="1440"/>
          </w:tcPr>
          <w:p>
            <w:r>
              <w:t>0,0576</w:t>
            </w:r>
          </w:p>
        </w:tc>
      </w:tr>
      <w:tr>
        <w:tc>
          <w:tcPr>
            <w:tcW w:type="dxa" w:w="1440"/>
          </w:tcPr>
          <w:p>
            <w:r>
              <w:t>Flat Bar 200/12</w:t>
            </w:r>
          </w:p>
        </w:tc>
        <w:tc>
          <w:tcPr>
            <w:tcW w:type="dxa" w:w="1440"/>
          </w:tcPr>
          <w:p>
            <w:r>
              <w:t>2 400,0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13,649</w:t>
            </w:r>
          </w:p>
        </w:tc>
        <w:tc>
          <w:tcPr>
            <w:tcW w:type="dxa" w:w="1440"/>
          </w:tcPr>
          <w:p>
            <w:r>
              <w:t>0,0328</w:t>
            </w:r>
          </w:p>
        </w:tc>
        <w:tc>
          <w:tcPr>
            <w:tcW w:type="dxa" w:w="1440"/>
          </w:tcPr>
          <w:p>
            <w:r>
              <w:t>0,0296</w:t>
            </w:r>
          </w:p>
        </w:tc>
      </w:tr>
      <w:tr>
        <w:tc>
          <w:tcPr>
            <w:tcW w:type="dxa" w:w="1440"/>
          </w:tcPr>
          <w:p>
            <w:r>
              <w:t>Flat Bar 200/20</w:t>
            </w:r>
          </w:p>
        </w:tc>
        <w:tc>
          <w:tcPr>
            <w:tcW w:type="dxa" w:w="1440"/>
          </w:tcPr>
          <w:p>
            <w:r>
              <w:t>4 000,0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7,019</w:t>
            </w:r>
          </w:p>
        </w:tc>
        <w:tc>
          <w:tcPr>
            <w:tcW w:type="dxa" w:w="1440"/>
          </w:tcPr>
          <w:p>
            <w:r>
              <w:t>0,0281</w:t>
            </w:r>
          </w:p>
        </w:tc>
        <w:tc>
          <w:tcPr>
            <w:tcW w:type="dxa" w:w="1440"/>
          </w:tcPr>
          <w:p>
            <w:r>
              <w:t>0,0253</w:t>
            </w:r>
          </w:p>
        </w:tc>
      </w:tr>
      <w:tr>
        <w:tc>
          <w:tcPr>
            <w:tcW w:type="dxa" w:w="1440"/>
          </w:tcPr>
          <w:p>
            <w:r>
              <w:t>Flat Bar 225/12</w:t>
            </w:r>
          </w:p>
        </w:tc>
        <w:tc>
          <w:tcPr>
            <w:tcW w:type="dxa" w:w="1440"/>
          </w:tcPr>
          <w:p>
            <w:r>
              <w:t>2 700,0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29,587</w:t>
            </w:r>
          </w:p>
        </w:tc>
        <w:tc>
          <w:tcPr>
            <w:tcW w:type="dxa" w:w="1440"/>
          </w:tcPr>
          <w:p>
            <w:r>
              <w:t>0,0799</w:t>
            </w:r>
          </w:p>
        </w:tc>
        <w:tc>
          <w:tcPr>
            <w:tcW w:type="dxa" w:w="1440"/>
          </w:tcPr>
          <w:p>
            <w:r>
              <w:t>0,0707</w:t>
            </w:r>
          </w:p>
        </w:tc>
      </w:tr>
      <w:tr>
        <w:tc>
          <w:tcPr>
            <w:tcW w:type="dxa" w:w="1440"/>
          </w:tcPr>
          <w:p>
            <w:r>
              <w:t>Flat Bar 225/20</w:t>
            </w:r>
          </w:p>
        </w:tc>
        <w:tc>
          <w:tcPr>
            <w:tcW w:type="dxa" w:w="1440"/>
          </w:tcPr>
          <w:p>
            <w:r>
              <w:t>4 500,0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19,443</w:t>
            </w:r>
          </w:p>
        </w:tc>
        <w:tc>
          <w:tcPr>
            <w:tcW w:type="dxa" w:w="1440"/>
          </w:tcPr>
          <w:p>
            <w:r>
              <w:t>0,0875</w:t>
            </w:r>
          </w:p>
        </w:tc>
        <w:tc>
          <w:tcPr>
            <w:tcW w:type="dxa" w:w="1440"/>
          </w:tcPr>
          <w:p>
            <w:r>
              <w:t>0,0775</w:t>
            </w:r>
          </w:p>
        </w:tc>
      </w:tr>
      <w:tr>
        <w:tc>
          <w:tcPr>
            <w:tcW w:type="dxa" w:w="1440"/>
          </w:tcPr>
          <w:p>
            <w:r>
              <w:t>Flat Bar 237.5/12</w:t>
            </w:r>
          </w:p>
        </w:tc>
        <w:tc>
          <w:tcPr>
            <w:tcW w:type="dxa" w:w="1440"/>
          </w:tcPr>
          <w:p>
            <w:r>
              <w:t>2 850,0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13,639</w:t>
            </w:r>
          </w:p>
        </w:tc>
        <w:tc>
          <w:tcPr>
            <w:tcW w:type="dxa" w:w="1440"/>
          </w:tcPr>
          <w:p>
            <w:r>
              <w:t>0,0389</w:t>
            </w:r>
          </w:p>
        </w:tc>
        <w:tc>
          <w:tcPr>
            <w:tcW w:type="dxa" w:w="1440"/>
          </w:tcPr>
          <w:p>
            <w:r>
              <w:t>0,0357</w:t>
            </w:r>
          </w:p>
        </w:tc>
      </w:tr>
      <w:tr>
        <w:tc>
          <w:tcPr>
            <w:tcW w:type="dxa" w:w="1440"/>
          </w:tcPr>
          <w:p>
            <w:r>
              <w:t>Flat Bar 237.5/20</w:t>
            </w:r>
          </w:p>
        </w:tc>
        <w:tc>
          <w:tcPr>
            <w:tcW w:type="dxa" w:w="1440"/>
          </w:tcPr>
          <w:p>
            <w:r>
              <w:t>4 750,0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7,014</w:t>
            </w:r>
          </w:p>
        </w:tc>
        <w:tc>
          <w:tcPr>
            <w:tcW w:type="dxa" w:w="1440"/>
          </w:tcPr>
          <w:p>
            <w:r>
              <w:t>0,0333</w:t>
            </w:r>
          </w:p>
        </w:tc>
        <w:tc>
          <w:tcPr>
            <w:tcW w:type="dxa" w:w="1440"/>
          </w:tcPr>
          <w:p>
            <w:r>
              <w:t>0,0306</w:t>
            </w:r>
          </w:p>
        </w:tc>
      </w:tr>
      <w:tr>
        <w:tc>
          <w:tcPr>
            <w:tcW w:type="dxa" w:w="1440"/>
          </w:tcPr>
          <w:p>
            <w:r>
              <w:t>Flat Bar 275/12</w:t>
            </w:r>
          </w:p>
        </w:tc>
        <w:tc>
          <w:tcPr>
            <w:tcW w:type="dxa" w:w="1440"/>
          </w:tcPr>
          <w:p>
            <w:r>
              <w:t>3 300,0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42,638</w:t>
            </w:r>
          </w:p>
        </w:tc>
        <w:tc>
          <w:tcPr>
            <w:tcW w:type="dxa" w:w="1440"/>
          </w:tcPr>
          <w:p>
            <w:r>
              <w:t>0,1407</w:t>
            </w:r>
          </w:p>
        </w:tc>
        <w:tc>
          <w:tcPr>
            <w:tcW w:type="dxa" w:w="1440"/>
          </w:tcPr>
          <w:p>
            <w:r>
              <w:t>0,1285</w:t>
            </w:r>
          </w:p>
        </w:tc>
      </w:tr>
      <w:tr>
        <w:tc>
          <w:tcPr>
            <w:tcW w:type="dxa" w:w="1440"/>
          </w:tcPr>
          <w:p>
            <w:r>
              <w:t>Flat Bar 275/20</w:t>
            </w:r>
          </w:p>
        </w:tc>
        <w:tc>
          <w:tcPr>
            <w:tcW w:type="dxa" w:w="1440"/>
          </w:tcPr>
          <w:p>
            <w:r>
              <w:t>5 500,0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26,454</w:t>
            </w:r>
          </w:p>
        </w:tc>
        <w:tc>
          <w:tcPr>
            <w:tcW w:type="dxa" w:w="1440"/>
          </w:tcPr>
          <w:p>
            <w:r>
              <w:t>0,1455</w:t>
            </w:r>
          </w:p>
        </w:tc>
        <w:tc>
          <w:tcPr>
            <w:tcW w:type="dxa" w:w="1440"/>
          </w:tcPr>
          <w:p>
            <w:r>
              <w:t>0,1327</w:t>
            </w:r>
          </w:p>
        </w:tc>
      </w:tr>
      <w:tr>
        <w:tc>
          <w:tcPr>
            <w:tcW w:type="dxa" w:w="1440"/>
          </w:tcPr>
          <w:p>
            <w:r>
              <w:t>RD 12</w:t>
            </w:r>
          </w:p>
        </w:tc>
        <w:tc>
          <w:tcPr>
            <w:tcW w:type="dxa" w:w="1440"/>
          </w:tcPr>
          <w:p>
            <w:r>
              <w:t>113,1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367,168</w:t>
            </w:r>
          </w:p>
        </w:tc>
        <w:tc>
          <w:tcPr>
            <w:tcW w:type="dxa" w:w="1440"/>
          </w:tcPr>
          <w:p>
            <w:r>
              <w:t>0,0415</w:t>
            </w:r>
          </w:p>
        </w:tc>
        <w:tc>
          <w:tcPr>
            <w:tcW w:type="dxa" w:w="1440"/>
          </w:tcPr>
          <w:p>
            <w:r>
              <w:t>0,0415*</w:t>
            </w:r>
          </w:p>
        </w:tc>
      </w:tr>
      <w:tr>
        <w:tc>
          <w:tcPr>
            <w:tcW w:type="dxa" w:w="1440"/>
          </w:tcPr>
          <w:p>
            <w:r>
              <w:t>Rectangle 500/500</w:t>
            </w:r>
          </w:p>
        </w:tc>
        <w:tc>
          <w:tcPr>
            <w:tcW w:type="dxa" w:w="1440"/>
          </w:tcPr>
          <w:p>
            <w:r>
              <w:t>250 000,0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47,023</w:t>
            </w:r>
          </w:p>
        </w:tc>
        <w:tc>
          <w:tcPr>
            <w:tcW w:type="dxa" w:w="1440"/>
          </w:tcPr>
          <w:p>
            <w:r>
              <w:t>11,7558</w:t>
            </w:r>
          </w:p>
        </w:tc>
        <w:tc>
          <w:tcPr>
            <w:tcW w:type="dxa" w:w="1440"/>
          </w:tcPr>
          <w:p>
            <w:r>
              <w:t>11,7382</w:t>
            </w:r>
          </w:p>
        </w:tc>
      </w:tr>
      <w:tr>
        <w:tc>
          <w:tcPr>
            <w:tcW w:type="dxa" w:w="1440"/>
          </w:tcPr>
          <w:p>
            <w:r>
              <w:t>RO 139.7x8.0 | EN 10210-2:2006</w:t>
            </w:r>
          </w:p>
        </w:tc>
        <w:tc>
          <w:tcPr>
            <w:tcW w:type="dxa" w:w="1440"/>
          </w:tcPr>
          <w:p>
            <w:r>
              <w:t>3 310,1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41,070</w:t>
            </w:r>
          </w:p>
        </w:tc>
        <w:tc>
          <w:tcPr>
            <w:tcW w:type="dxa" w:w="1440"/>
          </w:tcPr>
          <w:p>
            <w:r>
              <w:t>0,1359</w:t>
            </w:r>
          </w:p>
        </w:tc>
        <w:tc>
          <w:tcPr>
            <w:tcW w:type="dxa" w:w="1440"/>
          </w:tcPr>
          <w:p>
            <w:r>
              <w:t>0,6295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Summe</w:t>
            </w:r>
          </w:p>
        </w:tc>
        <w:tc>
          <w:tcPr>
            <w:tcW w:type="dxa" w:w="1440"/>
          </w:tcPr>
          <w:p>
            <w:r>
              <w:t>–</w:t>
            </w:r>
          </w:p>
        </w:tc>
        <w:tc>
          <w:tcPr>
            <w:tcW w:type="dxa" w:w="1440"/>
          </w:tcPr>
          <w:p>
            <w:r>
              <w:t>736</w:t>
            </w:r>
          </w:p>
        </w:tc>
        <w:tc>
          <w:tcPr>
            <w:tcW w:type="dxa" w:w="1440"/>
          </w:tcPr>
          <w:p>
            <w:r>
              <w:t>686,377</w:t>
            </w:r>
          </w:p>
        </w:tc>
        <w:tc>
          <w:tcPr>
            <w:tcW w:type="dxa" w:w="1440"/>
          </w:tcPr>
          <w:p>
            <w:r>
              <w:t>12,6998</w:t>
            </w:r>
          </w:p>
        </w:tc>
        <w:tc>
          <w:tcPr>
            <w:tcW w:type="dxa" w:w="1440"/>
          </w:tcPr>
          <w:p>
            <w:r>
              <w:t>13,0949</w:t>
            </w:r>
          </w:p>
        </w:tc>
      </w:tr>
    </w:tbl>
    <w:p>
      <w:r>
        <w:t>* RD 12: kein Solid im Modell, Volumen rechnerisch (A x L).</w:t>
      </w:r>
    </w:p>
    <w:p>
      <w:pPr>
        <w:pStyle w:val="Heading1"/>
      </w:pPr>
      <w:r>
        <w:t>Besonderheiten / Hinweise</w:t>
      </w:r>
    </w:p>
    <w:p>
      <w:pPr>
        <w:pStyle w:val="ListBullet"/>
      </w:pPr>
      <w:r>
        <w:t>RO 139.7x8.0 wird im RFEM-Export als Vollzylinder (Ø 139,7 mm, ohne Hohlkern) dargestellt; das Modellvolumen (0,629 m³) ist daher deutlich höher als das rechnerische Hohlrohr-Volumen (0,136 m³). Für die Ökobilanz ist der Hohlquerschnitt maßgeblich.</w:t>
      </w:r>
    </w:p>
    <w:p>
      <w:pPr>
        <w:pStyle w:val="ListBullet"/>
      </w:pPr>
      <w:r>
        <w:t>RD 12 (175 Rundstäbe, 367 m) ist ohne Solid exportiert – Volumen wurde rechnerisch ermittelt (A = 113,1 mm²).</w:t>
      </w:r>
    </w:p>
    <w:p>
      <w:pPr>
        <w:pStyle w:val="ListBullet"/>
      </w:pPr>
      <w:r>
        <w:t>Modellvolumen der Flachstäbe liegt bei ca. 85–99 % von A x L: Stäbe sind an Anschlüssen angefast/gekürzt (Mitzungen an Diagonalen).</w:t>
      </w:r>
    </w:p>
    <w:p>
      <w:pPr>
        <w:pStyle w:val="ListBullet"/>
      </w:pPr>
      <w:r>
        <w:t>„Flat Bar 33.3/20“ sind keine Stäbe im Tragsinn, sondern kleine Verbinderblöcke (20 x 20 x 33 mm, 116 Stück).</w:t>
      </w:r>
    </w:p>
    <w:p>
      <w:pPr>
        <w:pStyle w:val="Heading1"/>
      </w:pPr>
      <w:r>
        <w:t>Dateien in „Abgabe_23.10“</w:t>
      </w:r>
    </w:p>
    <w:p>
      <w:pPr>
        <w:pStyle w:val="ListBullet"/>
      </w:pPr>
      <w:r>
        <w:t>Staebe_UEbersicht.xlsx – Stäbe-Übersicht (Anzahl und Länge je Querschnitt)</w:t>
      </w:r>
    </w:p>
    <w:p>
      <w:pPr>
        <w:pStyle w:val="ListBullet"/>
      </w:pPr>
      <w:r>
        <w:t>Staebe_Querschnitt_Volumen.xlsx – diese Tabelle: Querschnittsflächen und Volumina</w:t>
      </w:r>
    </w:p>
    <w:p>
      <w:pPr>
        <w:pStyle w:val="ListBullet"/>
      </w:pPr>
      <w:r>
        <w:t>Vorgehensweise_Querschnitt_Volumen.docx – dieses Dokument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