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A65" w:rsidRPr="006D1035" w:rsidRDefault="00B61079" w:rsidP="0095446D">
      <w:pPr>
        <w:spacing w:after="0" w:line="288" w:lineRule="auto"/>
        <w:jc w:val="both"/>
        <w:rPr>
          <w:b/>
          <w:sz w:val="36"/>
          <w:szCs w:val="28"/>
        </w:rPr>
      </w:pPr>
      <w:r>
        <w:rPr>
          <w:b/>
          <w:sz w:val="36"/>
          <w:szCs w:val="28"/>
        </w:rPr>
        <w:t>R</w:t>
      </w:r>
      <w:r w:rsidR="00C82A51">
        <w:rPr>
          <w:b/>
          <w:sz w:val="36"/>
          <w:szCs w:val="28"/>
        </w:rPr>
        <w:t xml:space="preserve">essource </w:t>
      </w:r>
      <w:r w:rsidR="006D1035" w:rsidRPr="006D1035">
        <w:rPr>
          <w:b/>
          <w:sz w:val="36"/>
          <w:szCs w:val="28"/>
        </w:rPr>
        <w:t>1 : Les sources du droit fiscal</w:t>
      </w:r>
      <w:r w:rsidR="006D1035">
        <w:rPr>
          <w:b/>
          <w:sz w:val="36"/>
          <w:szCs w:val="28"/>
        </w:rPr>
        <w:t xml:space="preserve"> et l’administration fiscale française</w:t>
      </w:r>
    </w:p>
    <w:p w:rsidR="00D9222F" w:rsidRDefault="00D9222F" w:rsidP="00D9222F">
      <w:pPr>
        <w:spacing w:after="0" w:line="288" w:lineRule="auto"/>
        <w:jc w:val="both"/>
      </w:pPr>
    </w:p>
    <w:p w:rsidR="005A33B6" w:rsidRPr="00814848" w:rsidRDefault="005A33B6" w:rsidP="00D9222F">
      <w:pPr>
        <w:spacing w:after="0" w:line="288" w:lineRule="auto"/>
        <w:jc w:val="both"/>
      </w:pPr>
    </w:p>
    <w:p w:rsidR="00A32E88" w:rsidRPr="006D1035" w:rsidRDefault="005A33B6" w:rsidP="006D1035">
      <w:pPr>
        <w:pStyle w:val="Paragraphedeliste"/>
        <w:numPr>
          <w:ilvl w:val="0"/>
          <w:numId w:val="9"/>
        </w:numPr>
        <w:spacing w:after="0" w:line="288" w:lineRule="auto"/>
        <w:jc w:val="both"/>
        <w:rPr>
          <w:b/>
          <w:sz w:val="32"/>
        </w:rPr>
      </w:pPr>
      <w:r>
        <w:rPr>
          <w:b/>
          <w:sz w:val="32"/>
        </w:rPr>
        <w:t>Les sources constitutionnelles et l</w:t>
      </w:r>
      <w:r w:rsidR="00A32E88" w:rsidRPr="006D1035">
        <w:rPr>
          <w:b/>
          <w:sz w:val="32"/>
        </w:rPr>
        <w:t>es principes constitutionnels</w:t>
      </w:r>
    </w:p>
    <w:p w:rsidR="005F1A65" w:rsidRPr="006D1035" w:rsidRDefault="005F1A65" w:rsidP="005F1A65">
      <w:pPr>
        <w:tabs>
          <w:tab w:val="left" w:pos="426"/>
          <w:tab w:val="center" w:pos="2977"/>
        </w:tabs>
        <w:spacing w:after="0" w:line="240" w:lineRule="auto"/>
        <w:jc w:val="both"/>
        <w:rPr>
          <w:rFonts w:cstheme="minorHAnsi"/>
          <w:color w:val="000000"/>
          <w:sz w:val="24"/>
          <w:u w:val="single"/>
        </w:rPr>
      </w:pPr>
    </w:p>
    <w:p w:rsidR="005F1A65" w:rsidRDefault="005F1A65" w:rsidP="005F1A65">
      <w:pPr>
        <w:tabs>
          <w:tab w:val="left" w:pos="426"/>
          <w:tab w:val="center" w:pos="2977"/>
        </w:tabs>
        <w:spacing w:after="0" w:line="240" w:lineRule="auto"/>
        <w:jc w:val="both"/>
        <w:rPr>
          <w:rFonts w:cstheme="minorHAnsi"/>
          <w:color w:val="000000"/>
          <w:sz w:val="24"/>
        </w:rPr>
      </w:pPr>
      <w:r w:rsidRPr="006D1035">
        <w:rPr>
          <w:rFonts w:cstheme="minorHAnsi"/>
          <w:color w:val="000000"/>
          <w:sz w:val="24"/>
          <w:u w:val="single"/>
        </w:rPr>
        <w:t>Constitution</w:t>
      </w:r>
      <w:r w:rsidRPr="006D1035">
        <w:rPr>
          <w:rFonts w:cstheme="minorHAnsi"/>
          <w:color w:val="000000"/>
          <w:sz w:val="24"/>
        </w:rPr>
        <w:t> : texte qui pose de grands principes.</w:t>
      </w:r>
    </w:p>
    <w:p w:rsidR="00546DF4" w:rsidRPr="006D1035" w:rsidRDefault="00546DF4" w:rsidP="005F1A65">
      <w:pPr>
        <w:tabs>
          <w:tab w:val="left" w:pos="426"/>
          <w:tab w:val="center" w:pos="2977"/>
        </w:tabs>
        <w:spacing w:after="0" w:line="240" w:lineRule="auto"/>
        <w:jc w:val="both"/>
        <w:rPr>
          <w:rFonts w:cstheme="minorHAnsi"/>
          <w:color w:val="000000"/>
          <w:sz w:val="24"/>
        </w:rPr>
      </w:pPr>
      <w:r>
        <w:rPr>
          <w:rFonts w:cstheme="minorHAnsi"/>
          <w:color w:val="000000"/>
          <w:sz w:val="24"/>
        </w:rPr>
        <w:t>La Constitution française du 4 octobre 1958 se trouve au sommet de la hiérarchie des normes. Elle est complétée par un bloc de constitutionnalité comprenant toutes les normes à valeur constitutionnelle ne figurant pas directement dans le corps de la Constitution (Déclaration des droits de l’homme, préambule de la Constitution de 1946, chartre de l’environnement de 2005, principes fondamentaux reconnus par les lois de la République).</w:t>
      </w:r>
    </w:p>
    <w:p w:rsidR="005F1A65" w:rsidRPr="006D1035" w:rsidRDefault="005F1A65" w:rsidP="00D9222F">
      <w:pPr>
        <w:spacing w:after="0" w:line="288" w:lineRule="auto"/>
        <w:jc w:val="both"/>
        <w:rPr>
          <w:sz w:val="24"/>
        </w:rPr>
      </w:pPr>
    </w:p>
    <w:p w:rsidR="00814848" w:rsidRPr="006D1035" w:rsidRDefault="00814848" w:rsidP="00D9222F">
      <w:pPr>
        <w:spacing w:after="0" w:line="288" w:lineRule="auto"/>
        <w:jc w:val="both"/>
        <w:rPr>
          <w:sz w:val="24"/>
        </w:rPr>
      </w:pPr>
      <w:r w:rsidRPr="006D1035">
        <w:rPr>
          <w:sz w:val="24"/>
        </w:rPr>
        <w:t>La Déclaration des droits de l’homme et du citoyen définis le fondement des relations entre les contribuables (= personnes redevables de l’impôt) et l’administration fiscale. On peut retrouver plusieurs principes :</w:t>
      </w:r>
    </w:p>
    <w:p w:rsidR="00814848" w:rsidRPr="006D1035" w:rsidRDefault="00546DF4" w:rsidP="00D9222F">
      <w:pPr>
        <w:pStyle w:val="Paragraphedeliste"/>
        <w:numPr>
          <w:ilvl w:val="0"/>
          <w:numId w:val="10"/>
        </w:numPr>
        <w:spacing w:after="0" w:line="288" w:lineRule="auto"/>
        <w:jc w:val="both"/>
        <w:rPr>
          <w:sz w:val="24"/>
        </w:rPr>
      </w:pPr>
      <w:r>
        <w:rPr>
          <w:b/>
          <w:sz w:val="24"/>
        </w:rPr>
        <w:t>La l</w:t>
      </w:r>
      <w:r w:rsidR="00814848" w:rsidRPr="006D1035">
        <w:rPr>
          <w:b/>
          <w:sz w:val="24"/>
        </w:rPr>
        <w:t>égalité de l’impôt</w:t>
      </w:r>
      <w:r w:rsidR="00814848" w:rsidRPr="006D1035">
        <w:rPr>
          <w:sz w:val="24"/>
        </w:rPr>
        <w:t xml:space="preserve"> : </w:t>
      </w:r>
      <w:r>
        <w:rPr>
          <w:sz w:val="24"/>
        </w:rPr>
        <w:t>précise que les règles concernant l’assiette, le taux et le recouvrement de l’impôt sont fixées par la loi. Ainsi, s</w:t>
      </w:r>
      <w:r w:rsidR="00814848" w:rsidRPr="006D1035">
        <w:rPr>
          <w:sz w:val="24"/>
        </w:rPr>
        <w:t>eul le Parlement est compétent pour mettre en place et lever de nouveaux impôts</w:t>
      </w:r>
      <w:r>
        <w:rPr>
          <w:sz w:val="24"/>
        </w:rPr>
        <w:t xml:space="preserve">. </w:t>
      </w:r>
    </w:p>
    <w:p w:rsidR="00814848" w:rsidRPr="006D1035" w:rsidRDefault="00814848" w:rsidP="00D9222F">
      <w:pPr>
        <w:pStyle w:val="Paragraphedeliste"/>
        <w:numPr>
          <w:ilvl w:val="0"/>
          <w:numId w:val="10"/>
        </w:numPr>
        <w:spacing w:after="0" w:line="288" w:lineRule="auto"/>
        <w:jc w:val="both"/>
        <w:rPr>
          <w:sz w:val="24"/>
        </w:rPr>
      </w:pPr>
      <w:r w:rsidRPr="006D1035">
        <w:rPr>
          <w:b/>
          <w:sz w:val="24"/>
        </w:rPr>
        <w:t>L’égalité devant l’impôt </w:t>
      </w:r>
      <w:r w:rsidRPr="006D1035">
        <w:rPr>
          <w:sz w:val="24"/>
        </w:rPr>
        <w:t>: « La contribution commune doit être également répartie entre les citoyens à raison de leurs facultés » (Art. 13 de la DDHC)</w:t>
      </w:r>
    </w:p>
    <w:p w:rsidR="00814848" w:rsidRPr="006D1035" w:rsidRDefault="00814848" w:rsidP="00D9222F">
      <w:pPr>
        <w:pStyle w:val="Paragraphedeliste"/>
        <w:numPr>
          <w:ilvl w:val="0"/>
          <w:numId w:val="10"/>
        </w:numPr>
        <w:spacing w:after="0" w:line="288" w:lineRule="auto"/>
        <w:jc w:val="both"/>
        <w:rPr>
          <w:sz w:val="24"/>
        </w:rPr>
      </w:pPr>
      <w:r w:rsidRPr="006D1035">
        <w:rPr>
          <w:b/>
          <w:sz w:val="24"/>
        </w:rPr>
        <w:t>La nécessité de l’impôt</w:t>
      </w:r>
      <w:r w:rsidRPr="006D1035">
        <w:rPr>
          <w:sz w:val="24"/>
        </w:rPr>
        <w:t> : pour contribuer à l’entretien de la force publique et aux dépenses de l’administration</w:t>
      </w:r>
    </w:p>
    <w:p w:rsidR="00814848" w:rsidRPr="006D1035" w:rsidRDefault="00814848" w:rsidP="00D9222F">
      <w:pPr>
        <w:pStyle w:val="Paragraphedeliste"/>
        <w:numPr>
          <w:ilvl w:val="0"/>
          <w:numId w:val="10"/>
        </w:numPr>
        <w:spacing w:after="0" w:line="288" w:lineRule="auto"/>
        <w:jc w:val="both"/>
        <w:rPr>
          <w:sz w:val="24"/>
        </w:rPr>
      </w:pPr>
      <w:r w:rsidRPr="006D1035">
        <w:rPr>
          <w:b/>
          <w:sz w:val="24"/>
        </w:rPr>
        <w:t>L’annualité de l’impôt</w:t>
      </w:r>
      <w:r w:rsidRPr="006D1035">
        <w:rPr>
          <w:sz w:val="24"/>
        </w:rPr>
        <w:t> : le budget de l’Etat qui prend en compte les recettes issues des impôts est voté chaque année.</w:t>
      </w:r>
    </w:p>
    <w:p w:rsidR="00D9222F" w:rsidRDefault="00D9222F" w:rsidP="00D9222F">
      <w:pPr>
        <w:spacing w:after="0" w:line="288" w:lineRule="auto"/>
        <w:jc w:val="both"/>
        <w:rPr>
          <w:sz w:val="24"/>
        </w:rPr>
      </w:pPr>
    </w:p>
    <w:p w:rsidR="005A33B6" w:rsidRPr="006D1035" w:rsidRDefault="005A33B6" w:rsidP="00D9222F">
      <w:pPr>
        <w:spacing w:after="0" w:line="288" w:lineRule="auto"/>
        <w:jc w:val="both"/>
        <w:rPr>
          <w:sz w:val="24"/>
        </w:rPr>
      </w:pPr>
    </w:p>
    <w:p w:rsidR="00814848" w:rsidRPr="006D1035" w:rsidRDefault="00814848" w:rsidP="00D9222F">
      <w:pPr>
        <w:spacing w:after="0" w:line="288" w:lineRule="auto"/>
        <w:jc w:val="both"/>
        <w:rPr>
          <w:sz w:val="4"/>
        </w:rPr>
      </w:pPr>
    </w:p>
    <w:p w:rsidR="00D9222F" w:rsidRPr="006D1035" w:rsidRDefault="00A32E88" w:rsidP="006D1035">
      <w:pPr>
        <w:pStyle w:val="Paragraphedeliste"/>
        <w:numPr>
          <w:ilvl w:val="0"/>
          <w:numId w:val="9"/>
        </w:numPr>
        <w:spacing w:after="0" w:line="288" w:lineRule="auto"/>
        <w:jc w:val="both"/>
        <w:rPr>
          <w:b/>
          <w:sz w:val="32"/>
        </w:rPr>
      </w:pPr>
      <w:r w:rsidRPr="006D1035">
        <w:rPr>
          <w:b/>
          <w:sz w:val="32"/>
        </w:rPr>
        <w:t>Les sources</w:t>
      </w:r>
      <w:r w:rsidR="005F1A65" w:rsidRPr="006D1035">
        <w:rPr>
          <w:b/>
          <w:sz w:val="32"/>
        </w:rPr>
        <w:t xml:space="preserve"> non constitutionnelles</w:t>
      </w:r>
    </w:p>
    <w:p w:rsidR="005F1A65" w:rsidRPr="006D1035" w:rsidRDefault="005F1A65" w:rsidP="005F1A65">
      <w:pPr>
        <w:tabs>
          <w:tab w:val="center" w:pos="2977"/>
        </w:tabs>
        <w:spacing w:after="0" w:line="240" w:lineRule="auto"/>
        <w:jc w:val="both"/>
        <w:rPr>
          <w:rFonts w:cstheme="minorHAnsi"/>
          <w:color w:val="000000"/>
          <w:sz w:val="24"/>
        </w:rPr>
      </w:pPr>
    </w:p>
    <w:p w:rsidR="009157A3" w:rsidRDefault="005F1A65" w:rsidP="005F1A65">
      <w:pPr>
        <w:tabs>
          <w:tab w:val="left" w:pos="426"/>
          <w:tab w:val="center" w:pos="2977"/>
        </w:tabs>
        <w:spacing w:after="0" w:line="240" w:lineRule="auto"/>
        <w:jc w:val="both"/>
        <w:rPr>
          <w:rFonts w:cstheme="minorHAnsi"/>
          <w:color w:val="000000"/>
          <w:sz w:val="24"/>
        </w:rPr>
      </w:pPr>
      <w:r w:rsidRPr="006D1035">
        <w:rPr>
          <w:rFonts w:cstheme="minorHAnsi"/>
          <w:b/>
          <w:color w:val="000000"/>
          <w:sz w:val="24"/>
        </w:rPr>
        <w:t>Traités internationaux </w:t>
      </w:r>
      <w:r w:rsidR="009157A3">
        <w:rPr>
          <w:rFonts w:cstheme="minorHAnsi"/>
          <w:b/>
          <w:color w:val="000000"/>
          <w:sz w:val="24"/>
        </w:rPr>
        <w:t>(normes internationales)</w:t>
      </w:r>
      <w:r w:rsidRPr="006D1035">
        <w:rPr>
          <w:rFonts w:cstheme="minorHAnsi"/>
          <w:b/>
          <w:color w:val="000000"/>
          <w:sz w:val="24"/>
        </w:rPr>
        <w:t>:</w:t>
      </w:r>
      <w:r w:rsidRPr="006D1035">
        <w:rPr>
          <w:rFonts w:cstheme="minorHAnsi"/>
          <w:color w:val="000000"/>
          <w:sz w:val="24"/>
        </w:rPr>
        <w:t xml:space="preserve"> </w:t>
      </w:r>
      <w:r w:rsidR="009157A3">
        <w:rPr>
          <w:rFonts w:cstheme="minorHAnsi"/>
          <w:color w:val="000000"/>
          <w:sz w:val="24"/>
        </w:rPr>
        <w:t xml:space="preserve">viennent du niveau international et doivent être conforme à la Constitution. Ces traités s’appliquent dans l’ordre juridique interne. </w:t>
      </w:r>
    </w:p>
    <w:p w:rsidR="005F1A65" w:rsidRPr="006D1035" w:rsidRDefault="009157A3" w:rsidP="005F1A65">
      <w:pPr>
        <w:tabs>
          <w:tab w:val="left" w:pos="426"/>
          <w:tab w:val="center" w:pos="2977"/>
        </w:tabs>
        <w:spacing w:after="0" w:line="240" w:lineRule="auto"/>
        <w:jc w:val="both"/>
        <w:rPr>
          <w:rFonts w:cstheme="minorHAnsi"/>
          <w:color w:val="000000"/>
          <w:sz w:val="24"/>
        </w:rPr>
      </w:pPr>
      <w:r>
        <w:rPr>
          <w:rFonts w:cstheme="minorHAnsi"/>
          <w:color w:val="000000"/>
          <w:sz w:val="24"/>
        </w:rPr>
        <w:t xml:space="preserve">Ex. : </w:t>
      </w:r>
      <w:r w:rsidR="005F1A65" w:rsidRPr="006D1035">
        <w:rPr>
          <w:rFonts w:cstheme="minorHAnsi"/>
          <w:color w:val="000000"/>
          <w:sz w:val="24"/>
        </w:rPr>
        <w:t>Conventions de l’Organisation Internationale du Travail (OIT, organe de l’ONU) : dispositions générales (interdiction du travail des enfants, de l’esclavage ou de la discrimination entre salariés). Vise à établir une concurrence loyale entre les entreprises et à éviter le dumping social (entre états membres de l’OIT)</w:t>
      </w:r>
    </w:p>
    <w:p w:rsidR="005F1A65" w:rsidRPr="006D1035" w:rsidRDefault="005F1A65" w:rsidP="005F1A65">
      <w:pPr>
        <w:tabs>
          <w:tab w:val="center" w:pos="2977"/>
        </w:tabs>
        <w:spacing w:after="0" w:line="240" w:lineRule="auto"/>
        <w:jc w:val="both"/>
        <w:rPr>
          <w:rFonts w:cstheme="minorHAnsi"/>
          <w:color w:val="000000"/>
          <w:sz w:val="24"/>
        </w:rPr>
      </w:pPr>
    </w:p>
    <w:p w:rsidR="005F1A65" w:rsidRPr="006D1035" w:rsidRDefault="005F1A65" w:rsidP="005F1A65">
      <w:pPr>
        <w:tabs>
          <w:tab w:val="left" w:pos="426"/>
          <w:tab w:val="center" w:pos="2977"/>
        </w:tabs>
        <w:spacing w:after="0" w:line="240" w:lineRule="auto"/>
        <w:jc w:val="both"/>
        <w:rPr>
          <w:rFonts w:cstheme="minorHAnsi"/>
          <w:color w:val="000000"/>
          <w:sz w:val="24"/>
        </w:rPr>
      </w:pPr>
      <w:r w:rsidRPr="006D1035">
        <w:rPr>
          <w:rFonts w:cstheme="minorHAnsi"/>
          <w:b/>
          <w:color w:val="000000"/>
          <w:sz w:val="24"/>
        </w:rPr>
        <w:t>Droit communautaire originaire</w:t>
      </w:r>
      <w:r w:rsidRPr="006D1035">
        <w:rPr>
          <w:rFonts w:cstheme="minorHAnsi"/>
          <w:color w:val="000000"/>
          <w:sz w:val="24"/>
        </w:rPr>
        <w:t>: grands traités européens (Traité de Rome 1957, Maastricht 1992, Amsterdam 1997, Nice 2000…)</w:t>
      </w:r>
    </w:p>
    <w:p w:rsidR="005F1A65" w:rsidRPr="006D1035" w:rsidRDefault="005F1A65" w:rsidP="005F1A65">
      <w:pPr>
        <w:tabs>
          <w:tab w:val="center" w:pos="2977"/>
        </w:tabs>
        <w:spacing w:after="0" w:line="240" w:lineRule="auto"/>
        <w:jc w:val="both"/>
        <w:rPr>
          <w:rFonts w:cstheme="minorHAnsi"/>
          <w:color w:val="000000"/>
          <w:sz w:val="24"/>
        </w:rPr>
      </w:pPr>
    </w:p>
    <w:p w:rsidR="005F1A65" w:rsidRPr="006D1035" w:rsidRDefault="005F1A65" w:rsidP="005F1A65">
      <w:pPr>
        <w:spacing w:after="0" w:line="240" w:lineRule="auto"/>
        <w:jc w:val="both"/>
        <w:rPr>
          <w:rFonts w:cstheme="minorHAnsi"/>
          <w:b/>
          <w:color w:val="000000"/>
          <w:sz w:val="24"/>
        </w:rPr>
      </w:pPr>
      <w:r w:rsidRPr="006D1035">
        <w:rPr>
          <w:rFonts w:cstheme="minorHAnsi"/>
          <w:b/>
          <w:color w:val="000000"/>
          <w:sz w:val="24"/>
        </w:rPr>
        <w:t xml:space="preserve">Droit communautaire dérivé : </w:t>
      </w:r>
    </w:p>
    <w:p w:rsidR="005F1A65" w:rsidRPr="006D1035" w:rsidRDefault="005F1A65" w:rsidP="005F1A65">
      <w:pPr>
        <w:numPr>
          <w:ilvl w:val="0"/>
          <w:numId w:val="25"/>
        </w:numPr>
        <w:tabs>
          <w:tab w:val="clear" w:pos="360"/>
          <w:tab w:val="num" w:pos="426"/>
          <w:tab w:val="center" w:pos="2977"/>
        </w:tabs>
        <w:spacing w:after="0" w:line="240" w:lineRule="auto"/>
        <w:jc w:val="both"/>
        <w:rPr>
          <w:rFonts w:cstheme="minorHAnsi"/>
          <w:color w:val="000000"/>
          <w:sz w:val="24"/>
        </w:rPr>
      </w:pPr>
      <w:r w:rsidRPr="006D1035">
        <w:rPr>
          <w:rFonts w:cstheme="minorHAnsi"/>
          <w:i/>
          <w:color w:val="000000"/>
          <w:sz w:val="24"/>
        </w:rPr>
        <w:t>Règlement:</w:t>
      </w:r>
      <w:r w:rsidRPr="006D1035">
        <w:rPr>
          <w:rFonts w:cstheme="minorHAnsi"/>
          <w:color w:val="000000"/>
          <w:sz w:val="24"/>
        </w:rPr>
        <w:t xml:space="preserve"> émanent du Conseil des ministres. Textes obligatoires qui s’appliquent directement et immédiatement aux Etats membres de l’U.E.</w:t>
      </w:r>
    </w:p>
    <w:p w:rsidR="005F1A65" w:rsidRPr="006D1035" w:rsidRDefault="005F1A65" w:rsidP="005F1A65">
      <w:pPr>
        <w:numPr>
          <w:ilvl w:val="0"/>
          <w:numId w:val="25"/>
        </w:numPr>
        <w:tabs>
          <w:tab w:val="center" w:pos="2977"/>
        </w:tabs>
        <w:spacing w:after="0" w:line="240" w:lineRule="auto"/>
        <w:jc w:val="both"/>
        <w:rPr>
          <w:rFonts w:cstheme="minorHAnsi"/>
          <w:color w:val="000000"/>
          <w:sz w:val="24"/>
        </w:rPr>
      </w:pPr>
      <w:r w:rsidRPr="006D1035">
        <w:rPr>
          <w:rFonts w:cstheme="minorHAnsi"/>
          <w:i/>
          <w:color w:val="000000"/>
          <w:sz w:val="24"/>
        </w:rPr>
        <w:t>Directives </w:t>
      </w:r>
      <w:r w:rsidRPr="006D1035">
        <w:rPr>
          <w:rFonts w:cstheme="minorHAnsi"/>
          <w:color w:val="000000"/>
          <w:sz w:val="24"/>
        </w:rPr>
        <w:t xml:space="preserve">: fixe des objectifs à atteindre en laissant les Etats membres libres sur les moyens de leur transposition dans leur droit national </w:t>
      </w:r>
    </w:p>
    <w:p w:rsidR="005F1A65" w:rsidRPr="006D1035" w:rsidRDefault="005F1A65" w:rsidP="005F1A65">
      <w:pPr>
        <w:tabs>
          <w:tab w:val="center" w:pos="1418"/>
        </w:tabs>
        <w:spacing w:after="0" w:line="240" w:lineRule="auto"/>
        <w:jc w:val="both"/>
        <w:rPr>
          <w:rFonts w:cstheme="minorHAnsi"/>
          <w:b/>
          <w:color w:val="000000"/>
          <w:sz w:val="24"/>
        </w:rPr>
      </w:pPr>
      <w:r w:rsidRPr="006D1035">
        <w:rPr>
          <w:rFonts w:cstheme="minorHAnsi"/>
          <w:b/>
          <w:color w:val="000000"/>
          <w:sz w:val="24"/>
        </w:rPr>
        <w:lastRenderedPageBreak/>
        <w:t xml:space="preserve">Lois et Règlements : </w:t>
      </w:r>
    </w:p>
    <w:p w:rsidR="005F1A65" w:rsidRPr="006D1035" w:rsidRDefault="005F1A65" w:rsidP="005F1A65">
      <w:pPr>
        <w:numPr>
          <w:ilvl w:val="0"/>
          <w:numId w:val="25"/>
        </w:numPr>
        <w:tabs>
          <w:tab w:val="center" w:pos="2977"/>
        </w:tabs>
        <w:spacing w:after="0" w:line="240" w:lineRule="auto"/>
        <w:jc w:val="both"/>
        <w:rPr>
          <w:rFonts w:cstheme="minorHAnsi"/>
          <w:color w:val="000000"/>
          <w:sz w:val="24"/>
        </w:rPr>
      </w:pPr>
      <w:r w:rsidRPr="006D1035">
        <w:rPr>
          <w:rFonts w:cstheme="minorHAnsi"/>
          <w:i/>
          <w:color w:val="000000"/>
          <w:sz w:val="24"/>
        </w:rPr>
        <w:t>Lois :</w:t>
      </w:r>
      <w:r w:rsidRPr="006D1035">
        <w:rPr>
          <w:rFonts w:cstheme="minorHAnsi"/>
          <w:color w:val="000000"/>
          <w:sz w:val="24"/>
        </w:rPr>
        <w:t xml:space="preserve"> texte général qui émane du Parlement (pouvoir législatif et exécutif)</w:t>
      </w:r>
    </w:p>
    <w:p w:rsidR="005F1A65" w:rsidRPr="006D1035" w:rsidRDefault="005F1A65" w:rsidP="005F1A65">
      <w:pPr>
        <w:numPr>
          <w:ilvl w:val="0"/>
          <w:numId w:val="25"/>
        </w:numPr>
        <w:tabs>
          <w:tab w:val="center" w:pos="2977"/>
        </w:tabs>
        <w:spacing w:after="0" w:line="240" w:lineRule="auto"/>
        <w:jc w:val="both"/>
        <w:rPr>
          <w:rFonts w:cstheme="minorHAnsi"/>
          <w:color w:val="000000"/>
          <w:sz w:val="24"/>
        </w:rPr>
      </w:pPr>
      <w:r w:rsidRPr="006D1035">
        <w:rPr>
          <w:rFonts w:cstheme="minorHAnsi"/>
          <w:i/>
          <w:color w:val="000000"/>
          <w:sz w:val="24"/>
        </w:rPr>
        <w:t>Règlements :</w:t>
      </w:r>
      <w:r w:rsidRPr="006D1035">
        <w:rPr>
          <w:rFonts w:cstheme="minorHAnsi"/>
          <w:color w:val="000000"/>
          <w:sz w:val="24"/>
        </w:rPr>
        <w:t xml:space="preserve"> L’exécutif, par des décrets et ordonnances, précise les lois et permet leur application. </w:t>
      </w:r>
    </w:p>
    <w:p w:rsidR="005F1A65" w:rsidRPr="006D1035" w:rsidRDefault="005F1A65" w:rsidP="005F1A65">
      <w:pPr>
        <w:spacing w:after="0" w:line="240" w:lineRule="auto"/>
        <w:jc w:val="both"/>
        <w:rPr>
          <w:rFonts w:cstheme="minorHAnsi"/>
          <w:color w:val="000000"/>
          <w:sz w:val="24"/>
          <w:u w:val="single"/>
        </w:rPr>
      </w:pPr>
    </w:p>
    <w:p w:rsidR="005F1A65" w:rsidRPr="005A33B6" w:rsidRDefault="005F1A65" w:rsidP="005F1A65">
      <w:pPr>
        <w:spacing w:after="0" w:line="240" w:lineRule="auto"/>
        <w:jc w:val="both"/>
        <w:rPr>
          <w:rFonts w:cstheme="minorHAnsi"/>
          <w:color w:val="000000"/>
          <w:sz w:val="24"/>
        </w:rPr>
      </w:pPr>
      <w:r w:rsidRPr="005A33B6">
        <w:rPr>
          <w:rFonts w:cstheme="minorHAnsi"/>
          <w:b/>
          <w:color w:val="000000"/>
          <w:sz w:val="24"/>
        </w:rPr>
        <w:t>Jurisprudence :</w:t>
      </w:r>
      <w:r w:rsidRPr="005A33B6">
        <w:rPr>
          <w:rFonts w:cstheme="minorHAnsi"/>
          <w:color w:val="000000"/>
          <w:sz w:val="24"/>
        </w:rPr>
        <w:t xml:space="preserve"> Ensemble des décisions de la cours d’appel et de la Cour de Cassation. Elle fournit des précisions sur le sens à apporter à des textes.</w:t>
      </w:r>
    </w:p>
    <w:p w:rsidR="005F1A65" w:rsidRPr="005A33B6" w:rsidRDefault="005F1A65" w:rsidP="005F1A65">
      <w:pPr>
        <w:spacing w:after="0" w:line="240" w:lineRule="auto"/>
        <w:jc w:val="both"/>
        <w:rPr>
          <w:rFonts w:cstheme="minorHAnsi"/>
          <w:color w:val="000000"/>
        </w:rPr>
      </w:pPr>
    </w:p>
    <w:p w:rsidR="006D1035" w:rsidRPr="005A33B6" w:rsidRDefault="005A33B6" w:rsidP="005F1A65">
      <w:pPr>
        <w:spacing w:after="0" w:line="240" w:lineRule="auto"/>
        <w:jc w:val="both"/>
        <w:rPr>
          <w:rFonts w:cstheme="minorHAnsi"/>
          <w:color w:val="000000"/>
        </w:rPr>
      </w:pPr>
      <w:r w:rsidRPr="005A33B6">
        <w:rPr>
          <w:rFonts w:cstheme="minorHAnsi"/>
          <w:b/>
          <w:color w:val="000000"/>
          <w:sz w:val="24"/>
        </w:rPr>
        <w:t>Conventions collectives</w:t>
      </w:r>
      <w:r w:rsidRPr="005A33B6">
        <w:rPr>
          <w:rFonts w:cstheme="minorHAnsi"/>
          <w:color w:val="000000"/>
          <w:sz w:val="24"/>
        </w:rPr>
        <w:t> </w:t>
      </w:r>
      <w:r w:rsidRPr="005A33B6">
        <w:rPr>
          <w:rFonts w:cstheme="minorHAnsi"/>
          <w:color w:val="000000"/>
        </w:rPr>
        <w:t>: actes juridiques entre employeurs et syndicats de salariés, portant sur les conditions d’emploi, de travail et les garanties sociales.</w:t>
      </w:r>
    </w:p>
    <w:p w:rsidR="006D1035" w:rsidRDefault="006D1035" w:rsidP="005F1A65">
      <w:pPr>
        <w:spacing w:after="0" w:line="240" w:lineRule="auto"/>
        <w:jc w:val="both"/>
        <w:rPr>
          <w:rFonts w:cstheme="minorHAnsi"/>
          <w:color w:val="000000"/>
        </w:rPr>
      </w:pPr>
    </w:p>
    <w:p w:rsidR="005A33B6" w:rsidRDefault="005A33B6" w:rsidP="005F1A65">
      <w:pPr>
        <w:spacing w:after="0" w:line="240" w:lineRule="auto"/>
        <w:jc w:val="both"/>
        <w:rPr>
          <w:rFonts w:cstheme="minorHAnsi"/>
          <w:color w:val="000000"/>
        </w:rPr>
      </w:pPr>
    </w:p>
    <w:p w:rsidR="005A33B6" w:rsidRDefault="005A33B6" w:rsidP="005F1A65">
      <w:pPr>
        <w:spacing w:after="0" w:line="240" w:lineRule="auto"/>
        <w:jc w:val="both"/>
        <w:rPr>
          <w:rFonts w:cstheme="minorHAnsi"/>
          <w:color w:val="000000"/>
        </w:rPr>
      </w:pPr>
    </w:p>
    <w:p w:rsidR="005A33B6" w:rsidRPr="005A33B6" w:rsidRDefault="005A33B6" w:rsidP="005F1A65">
      <w:pPr>
        <w:spacing w:after="0" w:line="240" w:lineRule="auto"/>
        <w:jc w:val="both"/>
        <w:rPr>
          <w:rFonts w:cstheme="minorHAnsi"/>
          <w:color w:val="000000"/>
        </w:rPr>
      </w:pPr>
    </w:p>
    <w:p w:rsidR="006D1035" w:rsidRPr="005A33B6" w:rsidRDefault="006D1035" w:rsidP="005A33B6">
      <w:pPr>
        <w:pStyle w:val="Paragraphedeliste"/>
        <w:numPr>
          <w:ilvl w:val="0"/>
          <w:numId w:val="9"/>
        </w:numPr>
        <w:spacing w:after="0" w:line="240" w:lineRule="auto"/>
        <w:jc w:val="both"/>
        <w:rPr>
          <w:b/>
          <w:sz w:val="32"/>
          <w:szCs w:val="32"/>
        </w:rPr>
      </w:pPr>
      <w:r w:rsidRPr="005A33B6">
        <w:rPr>
          <w:b/>
          <w:sz w:val="32"/>
          <w:szCs w:val="32"/>
        </w:rPr>
        <w:t>La h</w:t>
      </w:r>
      <w:r w:rsidR="005A33B6" w:rsidRPr="005A33B6">
        <w:rPr>
          <w:b/>
          <w:sz w:val="32"/>
          <w:szCs w:val="32"/>
        </w:rPr>
        <w:t>iérarchie des sources de droit </w:t>
      </w:r>
    </w:p>
    <w:p w:rsidR="006D1035" w:rsidRPr="005A33B6" w:rsidRDefault="006D1035" w:rsidP="005F1A65">
      <w:pPr>
        <w:spacing w:after="0" w:line="240" w:lineRule="auto"/>
        <w:jc w:val="both"/>
        <w:rPr>
          <w:rFonts w:cstheme="minorHAnsi"/>
          <w:color w:val="000000"/>
          <w:sz w:val="24"/>
        </w:rPr>
      </w:pPr>
    </w:p>
    <w:p w:rsidR="006D1035" w:rsidRPr="005A33B6" w:rsidRDefault="006D1035" w:rsidP="005F1A65">
      <w:pPr>
        <w:spacing w:after="0" w:line="240" w:lineRule="auto"/>
        <w:jc w:val="both"/>
        <w:rPr>
          <w:rFonts w:cstheme="minorHAnsi"/>
          <w:color w:val="000000"/>
          <w:sz w:val="24"/>
        </w:rPr>
      </w:pPr>
      <w:r w:rsidRPr="005A33B6">
        <w:rPr>
          <w:rFonts w:cstheme="minorHAnsi"/>
          <w:color w:val="000000"/>
          <w:sz w:val="24"/>
        </w:rPr>
        <w:t>Une source de droit dites inférieure ne peut pas entrer en contradiction avec une source de droit dites supérieure.</w:t>
      </w:r>
    </w:p>
    <w:p w:rsidR="0095446D" w:rsidRDefault="0095446D"/>
    <w:p w:rsidR="00E07185" w:rsidRDefault="005A33B6">
      <w:pPr>
        <w:rPr>
          <w:b/>
          <w:sz w:val="28"/>
          <w:szCs w:val="28"/>
          <w:highlight w:val="lightGray"/>
        </w:rPr>
      </w:pPr>
      <w:r>
        <w:rPr>
          <w:noProof/>
          <w:lang w:eastAsia="fr-FR"/>
        </w:rPr>
        <w:drawing>
          <wp:inline distT="0" distB="0" distL="0" distR="0">
            <wp:extent cx="6645910" cy="3568192"/>
            <wp:effectExtent l="0" t="0" r="0" b="0"/>
            <wp:docPr id="1" name="Diagramme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5A33B6" w:rsidRDefault="005A33B6">
      <w:pPr>
        <w:rPr>
          <w:b/>
          <w:sz w:val="32"/>
          <w:szCs w:val="32"/>
          <w:highlight w:val="lightGray"/>
        </w:rPr>
      </w:pPr>
      <w:r>
        <w:rPr>
          <w:b/>
          <w:sz w:val="32"/>
          <w:szCs w:val="32"/>
          <w:highlight w:val="lightGray"/>
        </w:rPr>
        <w:br w:type="page"/>
      </w:r>
    </w:p>
    <w:p w:rsidR="00A32E88" w:rsidRPr="006D1035" w:rsidRDefault="00A32E88" w:rsidP="00E07185">
      <w:pPr>
        <w:pStyle w:val="Paragraphedeliste"/>
        <w:numPr>
          <w:ilvl w:val="0"/>
          <w:numId w:val="9"/>
        </w:numPr>
        <w:spacing w:after="0" w:line="288" w:lineRule="auto"/>
        <w:jc w:val="both"/>
        <w:rPr>
          <w:b/>
          <w:sz w:val="32"/>
          <w:szCs w:val="32"/>
        </w:rPr>
      </w:pPr>
      <w:r w:rsidRPr="006D1035">
        <w:rPr>
          <w:b/>
          <w:sz w:val="32"/>
          <w:szCs w:val="32"/>
        </w:rPr>
        <w:t>L’organisation de l’administration fiscale</w:t>
      </w:r>
    </w:p>
    <w:p w:rsidR="00542706" w:rsidRDefault="00542706" w:rsidP="00A32E88">
      <w:pPr>
        <w:spacing w:line="288" w:lineRule="auto"/>
        <w:jc w:val="both"/>
        <w:rPr>
          <w:rFonts w:cstheme="minorHAnsi"/>
          <w:i/>
          <w:color w:val="000000"/>
          <w:szCs w:val="21"/>
        </w:rPr>
      </w:pPr>
    </w:p>
    <w:p w:rsidR="002F37BE" w:rsidRPr="006D1035" w:rsidRDefault="002F37BE" w:rsidP="00A32E88">
      <w:pPr>
        <w:spacing w:line="288" w:lineRule="auto"/>
        <w:jc w:val="both"/>
        <w:rPr>
          <w:rFonts w:cstheme="minorHAnsi"/>
          <w:i/>
          <w:color w:val="000000"/>
          <w:sz w:val="24"/>
          <w:szCs w:val="21"/>
        </w:rPr>
      </w:pPr>
      <w:r w:rsidRPr="006D1035">
        <w:rPr>
          <w:rFonts w:cstheme="minorHAnsi"/>
          <w:i/>
          <w:color w:val="000000"/>
          <w:sz w:val="24"/>
          <w:szCs w:val="21"/>
        </w:rPr>
        <w:t>L’administration fiscale en France est organisée autour de deux administrations : la Direction générale des Finances Publiques (DGFIP) et la Direction générale des Douanes et Droits Indirects (DGDDI).</w:t>
      </w:r>
    </w:p>
    <w:p w:rsidR="002F37BE" w:rsidRPr="006D1035" w:rsidRDefault="002F37BE" w:rsidP="00A32E88">
      <w:pPr>
        <w:spacing w:line="288" w:lineRule="auto"/>
        <w:jc w:val="both"/>
        <w:rPr>
          <w:rFonts w:cstheme="minorHAnsi"/>
          <w:color w:val="000000"/>
          <w:sz w:val="24"/>
          <w:szCs w:val="21"/>
        </w:rPr>
      </w:pPr>
      <w:r w:rsidRPr="006D1035">
        <w:rPr>
          <w:rFonts w:cstheme="minorHAnsi"/>
          <w:color w:val="000000"/>
          <w:sz w:val="24"/>
          <w:szCs w:val="21"/>
        </w:rPr>
        <w:t xml:space="preserve">Les grandes missions de la </w:t>
      </w:r>
      <w:r w:rsidRPr="006D1035">
        <w:rPr>
          <w:rFonts w:cstheme="minorHAnsi"/>
          <w:b/>
          <w:color w:val="000000"/>
          <w:sz w:val="24"/>
          <w:szCs w:val="21"/>
        </w:rPr>
        <w:t>Direction générale des finances publiques (DGFiP)</w:t>
      </w:r>
      <w:r w:rsidRPr="006D1035">
        <w:rPr>
          <w:rFonts w:cstheme="minorHAnsi"/>
          <w:color w:val="000000"/>
          <w:sz w:val="24"/>
          <w:szCs w:val="21"/>
        </w:rPr>
        <w:t xml:space="preserve"> concernant la fiscalité et la gestion publique sont les suivantes : </w:t>
      </w:r>
    </w:p>
    <w:p w:rsidR="002F37BE" w:rsidRPr="006D1035" w:rsidRDefault="002F37BE" w:rsidP="002F37BE">
      <w:pPr>
        <w:pStyle w:val="Paragraphedeliste"/>
        <w:numPr>
          <w:ilvl w:val="0"/>
          <w:numId w:val="11"/>
        </w:numPr>
        <w:spacing w:line="288" w:lineRule="auto"/>
        <w:jc w:val="both"/>
        <w:rPr>
          <w:rFonts w:cstheme="minorHAnsi"/>
          <w:b/>
          <w:sz w:val="28"/>
        </w:rPr>
      </w:pPr>
      <w:r w:rsidRPr="006D1035">
        <w:rPr>
          <w:rFonts w:cstheme="minorHAnsi"/>
          <w:color w:val="000000"/>
          <w:sz w:val="24"/>
          <w:szCs w:val="21"/>
        </w:rPr>
        <w:t xml:space="preserve">établir les impôts, contrôler les déclarations fiscales, recenser le patrimoine foncier et conserver les actes relatifs aux immeubles, </w:t>
      </w:r>
    </w:p>
    <w:p w:rsidR="002F37BE" w:rsidRPr="006D1035" w:rsidRDefault="002F37BE" w:rsidP="002F37BE">
      <w:pPr>
        <w:pStyle w:val="Paragraphedeliste"/>
        <w:numPr>
          <w:ilvl w:val="0"/>
          <w:numId w:val="11"/>
        </w:numPr>
        <w:spacing w:line="288" w:lineRule="auto"/>
        <w:jc w:val="both"/>
        <w:rPr>
          <w:rFonts w:cstheme="minorHAnsi"/>
          <w:b/>
          <w:sz w:val="28"/>
        </w:rPr>
      </w:pPr>
      <w:r w:rsidRPr="006D1035">
        <w:rPr>
          <w:rFonts w:cstheme="minorHAnsi"/>
          <w:color w:val="000000"/>
          <w:sz w:val="24"/>
          <w:szCs w:val="21"/>
        </w:rPr>
        <w:t xml:space="preserve">recouvrer les recettes publiques, contrôler et exécuter les dépenses publiques, </w:t>
      </w:r>
    </w:p>
    <w:p w:rsidR="002F37BE" w:rsidRPr="006D1035" w:rsidRDefault="002F37BE" w:rsidP="002F37BE">
      <w:pPr>
        <w:pStyle w:val="Paragraphedeliste"/>
        <w:numPr>
          <w:ilvl w:val="0"/>
          <w:numId w:val="11"/>
        </w:numPr>
        <w:spacing w:line="288" w:lineRule="auto"/>
        <w:jc w:val="both"/>
        <w:rPr>
          <w:rFonts w:cstheme="minorHAnsi"/>
          <w:b/>
          <w:sz w:val="28"/>
        </w:rPr>
      </w:pPr>
      <w:r w:rsidRPr="006D1035">
        <w:rPr>
          <w:rFonts w:cstheme="minorHAnsi"/>
          <w:color w:val="000000"/>
          <w:sz w:val="24"/>
          <w:szCs w:val="21"/>
        </w:rPr>
        <w:t>produire l’information budgétaire et comptable, offrir des prestations d’expertise et de conseil financier, gérer la clientèle des dépôts de fonds au Trésor et piloter la stratégie immobilière de l’État.</w:t>
      </w:r>
    </w:p>
    <w:p w:rsidR="002F37BE" w:rsidRPr="006D1035" w:rsidRDefault="002F37BE" w:rsidP="002F37BE">
      <w:pPr>
        <w:pStyle w:val="Paragraphedeliste"/>
        <w:numPr>
          <w:ilvl w:val="0"/>
          <w:numId w:val="11"/>
        </w:numPr>
        <w:spacing w:line="288" w:lineRule="auto"/>
        <w:jc w:val="both"/>
        <w:rPr>
          <w:rFonts w:cstheme="minorHAnsi"/>
          <w:b/>
          <w:sz w:val="28"/>
        </w:rPr>
      </w:pPr>
      <w:r w:rsidRPr="006D1035">
        <w:rPr>
          <w:rFonts w:cstheme="minorHAnsi"/>
          <w:color w:val="000000"/>
          <w:sz w:val="24"/>
          <w:szCs w:val="21"/>
        </w:rPr>
        <w:t xml:space="preserve"> Elle exerce également une mission d'animation et de coordination en matière de pensions de l'Etat.</w:t>
      </w:r>
    </w:p>
    <w:p w:rsidR="002F37BE" w:rsidRPr="006D1035" w:rsidRDefault="002F37BE" w:rsidP="002F37BE">
      <w:pPr>
        <w:spacing w:line="288" w:lineRule="auto"/>
        <w:jc w:val="both"/>
        <w:rPr>
          <w:rFonts w:cstheme="minorHAnsi"/>
          <w:sz w:val="24"/>
        </w:rPr>
      </w:pPr>
      <w:r w:rsidRPr="006D1035">
        <w:rPr>
          <w:rFonts w:cstheme="minorHAnsi"/>
          <w:sz w:val="24"/>
        </w:rPr>
        <w:t>La DGFIP a des services déconcentrés au niveau local dans les centres des Finances Publiques.</w:t>
      </w:r>
    </w:p>
    <w:tbl>
      <w:tblPr>
        <w:tblStyle w:val="Grilledutableau"/>
        <w:tblW w:w="0" w:type="auto"/>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tblPr>
      <w:tblGrid>
        <w:gridCol w:w="4077"/>
        <w:gridCol w:w="6529"/>
      </w:tblGrid>
      <w:tr w:rsidR="002F37BE" w:rsidRPr="006D1035" w:rsidTr="00C87EF3">
        <w:tc>
          <w:tcPr>
            <w:tcW w:w="4077" w:type="dxa"/>
            <w:shd w:val="clear" w:color="auto" w:fill="E7E6E6" w:themeFill="background2"/>
            <w:vAlign w:val="center"/>
          </w:tcPr>
          <w:p w:rsidR="002F37BE" w:rsidRPr="006D1035" w:rsidRDefault="002F37BE" w:rsidP="00C87EF3">
            <w:pPr>
              <w:spacing w:line="288" w:lineRule="auto"/>
              <w:jc w:val="center"/>
              <w:rPr>
                <w:rFonts w:cstheme="minorHAnsi"/>
                <w:b/>
                <w:sz w:val="24"/>
              </w:rPr>
            </w:pPr>
            <w:r w:rsidRPr="006D1035">
              <w:rPr>
                <w:rFonts w:cstheme="minorHAnsi"/>
                <w:b/>
                <w:sz w:val="24"/>
              </w:rPr>
              <w:t>Services</w:t>
            </w:r>
          </w:p>
        </w:tc>
        <w:tc>
          <w:tcPr>
            <w:tcW w:w="6529" w:type="dxa"/>
            <w:shd w:val="clear" w:color="auto" w:fill="E7E6E6" w:themeFill="background2"/>
            <w:vAlign w:val="center"/>
          </w:tcPr>
          <w:p w:rsidR="002F37BE" w:rsidRPr="006D1035" w:rsidRDefault="002F37BE" w:rsidP="00C87EF3">
            <w:pPr>
              <w:spacing w:line="288" w:lineRule="auto"/>
              <w:jc w:val="center"/>
              <w:rPr>
                <w:rFonts w:cstheme="minorHAnsi"/>
                <w:b/>
                <w:sz w:val="24"/>
              </w:rPr>
            </w:pPr>
            <w:r w:rsidRPr="006D1035">
              <w:rPr>
                <w:rFonts w:cstheme="minorHAnsi"/>
                <w:b/>
                <w:sz w:val="24"/>
              </w:rPr>
              <w:t>Compétences</w:t>
            </w:r>
          </w:p>
        </w:tc>
      </w:tr>
      <w:tr w:rsidR="002F37BE" w:rsidRPr="006D1035" w:rsidTr="00C87EF3">
        <w:tc>
          <w:tcPr>
            <w:tcW w:w="4077" w:type="dxa"/>
            <w:vAlign w:val="center"/>
          </w:tcPr>
          <w:p w:rsidR="002F37BE" w:rsidRPr="006D1035" w:rsidRDefault="002F37BE" w:rsidP="00C87EF3">
            <w:pPr>
              <w:spacing w:line="288" w:lineRule="auto"/>
              <w:jc w:val="both"/>
              <w:rPr>
                <w:rFonts w:cstheme="minorHAnsi"/>
                <w:sz w:val="24"/>
              </w:rPr>
            </w:pPr>
            <w:r w:rsidRPr="006D1035">
              <w:rPr>
                <w:rFonts w:cstheme="minorHAnsi"/>
                <w:sz w:val="24"/>
              </w:rPr>
              <w:t>Services des impôts des particuliers (SIP)</w:t>
            </w:r>
          </w:p>
        </w:tc>
        <w:tc>
          <w:tcPr>
            <w:tcW w:w="6529" w:type="dxa"/>
            <w:vAlign w:val="center"/>
          </w:tcPr>
          <w:p w:rsidR="002F37BE" w:rsidRPr="006D1035" w:rsidRDefault="002F37BE" w:rsidP="002F25FF">
            <w:pPr>
              <w:spacing w:line="288" w:lineRule="auto"/>
              <w:jc w:val="both"/>
              <w:rPr>
                <w:rFonts w:cstheme="minorHAnsi"/>
                <w:sz w:val="24"/>
              </w:rPr>
            </w:pPr>
            <w:r w:rsidRPr="006D1035">
              <w:rPr>
                <w:rFonts w:cstheme="minorHAnsi"/>
                <w:sz w:val="24"/>
              </w:rPr>
              <w:t>Calcul et recouvrement des impôts dus par les contribuables : les personnes physiques. C’est un accueil fiscal de proximité</w:t>
            </w:r>
          </w:p>
        </w:tc>
      </w:tr>
      <w:tr w:rsidR="002F37BE" w:rsidRPr="006D1035" w:rsidTr="00C87EF3">
        <w:tc>
          <w:tcPr>
            <w:tcW w:w="4077" w:type="dxa"/>
            <w:vAlign w:val="center"/>
          </w:tcPr>
          <w:p w:rsidR="004E45F0" w:rsidRPr="006D1035" w:rsidRDefault="002F37BE" w:rsidP="00C87EF3">
            <w:pPr>
              <w:spacing w:line="288" w:lineRule="auto"/>
              <w:jc w:val="both"/>
              <w:rPr>
                <w:rFonts w:cstheme="minorHAnsi"/>
                <w:sz w:val="24"/>
              </w:rPr>
            </w:pPr>
            <w:r w:rsidRPr="006D1035">
              <w:rPr>
                <w:rFonts w:cstheme="minorHAnsi"/>
                <w:sz w:val="24"/>
              </w:rPr>
              <w:t>Services des impôts</w:t>
            </w:r>
          </w:p>
          <w:p w:rsidR="002F37BE" w:rsidRPr="006D1035" w:rsidRDefault="002F37BE" w:rsidP="00C87EF3">
            <w:pPr>
              <w:spacing w:line="288" w:lineRule="auto"/>
              <w:jc w:val="both"/>
              <w:rPr>
                <w:rFonts w:cstheme="minorHAnsi"/>
                <w:sz w:val="24"/>
              </w:rPr>
            </w:pPr>
            <w:r w:rsidRPr="006D1035">
              <w:rPr>
                <w:rFonts w:cstheme="minorHAnsi"/>
                <w:sz w:val="24"/>
              </w:rPr>
              <w:t xml:space="preserve"> des entreprises (SIE)</w:t>
            </w:r>
          </w:p>
        </w:tc>
        <w:tc>
          <w:tcPr>
            <w:tcW w:w="6529" w:type="dxa"/>
            <w:vAlign w:val="center"/>
          </w:tcPr>
          <w:p w:rsidR="002F37BE" w:rsidRPr="006D1035" w:rsidRDefault="002F37BE" w:rsidP="002F25FF">
            <w:pPr>
              <w:spacing w:line="288" w:lineRule="auto"/>
              <w:jc w:val="both"/>
              <w:rPr>
                <w:rFonts w:cstheme="minorHAnsi"/>
                <w:sz w:val="24"/>
              </w:rPr>
            </w:pPr>
            <w:r w:rsidRPr="006D1035">
              <w:rPr>
                <w:rFonts w:cstheme="minorHAnsi"/>
                <w:sz w:val="24"/>
              </w:rPr>
              <w:t>Dépôts des déclarations professionnelles (déclarations de résultats, de TVA, de contribution à la valeur ajoutée des entreprises, …) et recouvrement des impôts professionnels (impôt sur les sociétés, TVA, taxes sur les salaires, …)</w:t>
            </w:r>
          </w:p>
          <w:p w:rsidR="002F37BE" w:rsidRPr="006D1035" w:rsidRDefault="002F37BE" w:rsidP="002F25FF">
            <w:pPr>
              <w:spacing w:line="288" w:lineRule="auto"/>
              <w:jc w:val="both"/>
              <w:rPr>
                <w:rFonts w:cstheme="minorHAnsi"/>
                <w:sz w:val="24"/>
              </w:rPr>
            </w:pPr>
            <w:r w:rsidRPr="006D1035">
              <w:rPr>
                <w:rFonts w:cstheme="minorHAnsi"/>
                <w:sz w:val="24"/>
              </w:rPr>
              <w:t>Les grandes entreprises doivent s’adresser à la Direction des grandes entreprises (DGE)</w:t>
            </w:r>
            <w:r w:rsidR="00C87EF3" w:rsidRPr="006D1035">
              <w:rPr>
                <w:rFonts w:cstheme="minorHAnsi"/>
                <w:sz w:val="24"/>
              </w:rPr>
              <w:t>.</w:t>
            </w:r>
          </w:p>
        </w:tc>
      </w:tr>
      <w:tr w:rsidR="002F37BE" w:rsidRPr="006D1035" w:rsidTr="00C87EF3">
        <w:tc>
          <w:tcPr>
            <w:tcW w:w="4077" w:type="dxa"/>
            <w:vAlign w:val="center"/>
          </w:tcPr>
          <w:p w:rsidR="002F37BE" w:rsidRPr="006D1035" w:rsidRDefault="002F37BE" w:rsidP="00C87EF3">
            <w:pPr>
              <w:spacing w:line="288" w:lineRule="auto"/>
              <w:jc w:val="both"/>
              <w:rPr>
                <w:rFonts w:cstheme="minorHAnsi"/>
                <w:sz w:val="24"/>
              </w:rPr>
            </w:pPr>
            <w:r w:rsidRPr="006D1035">
              <w:rPr>
                <w:rFonts w:cstheme="minorHAnsi"/>
                <w:sz w:val="24"/>
              </w:rPr>
              <w:t>Trésorerie</w:t>
            </w:r>
          </w:p>
        </w:tc>
        <w:tc>
          <w:tcPr>
            <w:tcW w:w="6529" w:type="dxa"/>
            <w:vAlign w:val="center"/>
          </w:tcPr>
          <w:p w:rsidR="002F37BE" w:rsidRPr="006D1035" w:rsidRDefault="00C87EF3" w:rsidP="002F25FF">
            <w:pPr>
              <w:spacing w:line="288" w:lineRule="auto"/>
              <w:jc w:val="both"/>
              <w:rPr>
                <w:rFonts w:cstheme="minorHAnsi"/>
                <w:sz w:val="24"/>
              </w:rPr>
            </w:pPr>
            <w:r w:rsidRPr="006D1035">
              <w:rPr>
                <w:rFonts w:cstheme="minorHAnsi"/>
                <w:sz w:val="24"/>
              </w:rPr>
              <w:t>Gestion budgétaire et comptable des collectivités locales et de leurs établissements publics, des hôpitaux, et de certains offices publics de l’habitat.</w:t>
            </w:r>
          </w:p>
        </w:tc>
      </w:tr>
      <w:tr w:rsidR="002F37BE" w:rsidRPr="006D1035" w:rsidTr="00C87EF3">
        <w:tc>
          <w:tcPr>
            <w:tcW w:w="4077" w:type="dxa"/>
            <w:vAlign w:val="center"/>
          </w:tcPr>
          <w:p w:rsidR="002F37BE" w:rsidRPr="006D1035" w:rsidRDefault="002F37BE" w:rsidP="00C87EF3">
            <w:pPr>
              <w:spacing w:line="288" w:lineRule="auto"/>
              <w:jc w:val="both"/>
              <w:rPr>
                <w:rFonts w:cstheme="minorHAnsi"/>
                <w:sz w:val="24"/>
              </w:rPr>
            </w:pPr>
            <w:r w:rsidRPr="006D1035">
              <w:rPr>
                <w:rFonts w:cstheme="minorHAnsi"/>
                <w:sz w:val="24"/>
              </w:rPr>
              <w:t>Centres des impôts fonciers</w:t>
            </w:r>
          </w:p>
        </w:tc>
        <w:tc>
          <w:tcPr>
            <w:tcW w:w="6529" w:type="dxa"/>
            <w:vAlign w:val="center"/>
          </w:tcPr>
          <w:p w:rsidR="002F37BE" w:rsidRPr="006D1035" w:rsidRDefault="002F25FF" w:rsidP="002F25FF">
            <w:pPr>
              <w:autoSpaceDE w:val="0"/>
              <w:autoSpaceDN w:val="0"/>
              <w:adjustRightInd w:val="0"/>
              <w:spacing w:line="288" w:lineRule="auto"/>
              <w:jc w:val="both"/>
              <w:rPr>
                <w:rFonts w:cstheme="minorHAnsi"/>
                <w:sz w:val="24"/>
              </w:rPr>
            </w:pPr>
            <w:r w:rsidRPr="006D1035">
              <w:rPr>
                <w:rFonts w:cstheme="minorHAnsi"/>
                <w:sz w:val="24"/>
              </w:rPr>
              <w:t>Calcul de la valeur locative (base utilisée pour le calcul des impôts locaux) des biens immobiliers ou demande d’extrait de plan cadastral (par ailleurs également accessible en ligne sur le site www.cadastre.gouv.fr). Dans certaines villes, ces missions sont désormais assurées par les services des impôts des particuliers.</w:t>
            </w:r>
          </w:p>
        </w:tc>
      </w:tr>
    </w:tbl>
    <w:p w:rsidR="00C70A3C" w:rsidRPr="006D1035" w:rsidRDefault="00C70A3C" w:rsidP="00C87EF3">
      <w:pPr>
        <w:spacing w:line="288" w:lineRule="auto"/>
        <w:jc w:val="both"/>
        <w:rPr>
          <w:rFonts w:cstheme="minorHAnsi"/>
          <w:sz w:val="24"/>
        </w:rPr>
      </w:pPr>
    </w:p>
    <w:p w:rsidR="0094697A" w:rsidRPr="005A33B6" w:rsidRDefault="00C70A3C" w:rsidP="005A33B6">
      <w:pPr>
        <w:spacing w:line="288" w:lineRule="auto"/>
        <w:jc w:val="both"/>
        <w:rPr>
          <w:rFonts w:cstheme="minorHAnsi"/>
          <w:sz w:val="24"/>
        </w:rPr>
      </w:pPr>
      <w:r w:rsidRPr="006D1035">
        <w:rPr>
          <w:rFonts w:cstheme="minorHAnsi"/>
          <w:sz w:val="24"/>
        </w:rPr>
        <w:t xml:space="preserve">La </w:t>
      </w:r>
      <w:r w:rsidRPr="006D1035">
        <w:rPr>
          <w:rFonts w:cstheme="minorHAnsi"/>
          <w:b/>
          <w:sz w:val="24"/>
        </w:rPr>
        <w:t>Direction générale des Douanes et Droits Indirects</w:t>
      </w:r>
      <w:r w:rsidR="001B0E27" w:rsidRPr="006D1035">
        <w:rPr>
          <w:rFonts w:cstheme="minorHAnsi"/>
          <w:sz w:val="24"/>
        </w:rPr>
        <w:t xml:space="preserve"> (DGDDI), qui en matière fiscale perçoit la TVA à l’importation dans l’Union européenne, ainsi que les accises (impôts indirects) sur les tabacs, alcools, produits énergétiques et la TVA des produits importés des pays tiers de l’Union européenne.</w:t>
      </w:r>
    </w:p>
    <w:sectPr w:rsidR="0094697A" w:rsidRPr="005A33B6" w:rsidSect="00314328">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567"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5C4B" w:rsidRDefault="006B5C4B" w:rsidP="00314328">
      <w:pPr>
        <w:spacing w:after="0" w:line="240" w:lineRule="auto"/>
      </w:pPr>
      <w:r>
        <w:separator/>
      </w:r>
    </w:p>
  </w:endnote>
  <w:endnote w:type="continuationSeparator" w:id="0">
    <w:p w:rsidR="006B5C4B" w:rsidRDefault="006B5C4B" w:rsidP="003143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Pro-Regular">
    <w:altName w:val="Arial"/>
    <w:panose1 w:val="00000000000000000000"/>
    <w:charset w:val="CC"/>
    <w:family w:val="swiss"/>
    <w:notTrueType/>
    <w:pitch w:val="default"/>
    <w:sig w:usb0="00000201" w:usb1="00000000" w:usb2="00000000" w:usb3="00000000" w:csb0="00000004"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2A51" w:rsidRDefault="00C82A51">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9532933"/>
      <w:docPartObj>
        <w:docPartGallery w:val="Page Numbers (Bottom of Page)"/>
        <w:docPartUnique/>
      </w:docPartObj>
    </w:sdtPr>
    <w:sdtContent>
      <w:sdt>
        <w:sdtPr>
          <w:id w:val="123787606"/>
          <w:docPartObj>
            <w:docPartGallery w:val="Page Numbers (Top of Page)"/>
            <w:docPartUnique/>
          </w:docPartObj>
        </w:sdtPr>
        <w:sdtContent>
          <w:p w:rsidR="005F1A65" w:rsidRDefault="005F1A65">
            <w:pPr>
              <w:pStyle w:val="Pieddepage"/>
              <w:jc w:val="right"/>
            </w:pPr>
            <w:r>
              <w:t xml:space="preserve">Page </w:t>
            </w:r>
            <w:r w:rsidR="0079289D">
              <w:rPr>
                <w:b/>
                <w:sz w:val="24"/>
                <w:szCs w:val="24"/>
              </w:rPr>
              <w:fldChar w:fldCharType="begin"/>
            </w:r>
            <w:r>
              <w:rPr>
                <w:b/>
              </w:rPr>
              <w:instrText>PAGE</w:instrText>
            </w:r>
            <w:r w:rsidR="0079289D">
              <w:rPr>
                <w:b/>
                <w:sz w:val="24"/>
                <w:szCs w:val="24"/>
              </w:rPr>
              <w:fldChar w:fldCharType="separate"/>
            </w:r>
            <w:r w:rsidR="006B5C4B">
              <w:rPr>
                <w:b/>
                <w:noProof/>
              </w:rPr>
              <w:t>1</w:t>
            </w:r>
            <w:r w:rsidR="0079289D">
              <w:rPr>
                <w:b/>
                <w:sz w:val="24"/>
                <w:szCs w:val="24"/>
              </w:rPr>
              <w:fldChar w:fldCharType="end"/>
            </w:r>
            <w:r>
              <w:t xml:space="preserve"> sur </w:t>
            </w:r>
            <w:r w:rsidR="0079289D">
              <w:rPr>
                <w:b/>
                <w:sz w:val="24"/>
                <w:szCs w:val="24"/>
              </w:rPr>
              <w:fldChar w:fldCharType="begin"/>
            </w:r>
            <w:r>
              <w:rPr>
                <w:b/>
              </w:rPr>
              <w:instrText>NUMPAGES</w:instrText>
            </w:r>
            <w:r w:rsidR="0079289D">
              <w:rPr>
                <w:b/>
                <w:sz w:val="24"/>
                <w:szCs w:val="24"/>
              </w:rPr>
              <w:fldChar w:fldCharType="separate"/>
            </w:r>
            <w:r w:rsidR="006B5C4B">
              <w:rPr>
                <w:b/>
                <w:noProof/>
              </w:rPr>
              <w:t>1</w:t>
            </w:r>
            <w:r w:rsidR="0079289D">
              <w:rPr>
                <w:b/>
                <w:sz w:val="24"/>
                <w:szCs w:val="24"/>
              </w:rPr>
              <w:fldChar w:fldCharType="end"/>
            </w:r>
          </w:p>
        </w:sdtContent>
      </w:sdt>
    </w:sdtContent>
  </w:sdt>
  <w:p w:rsidR="005F1A65" w:rsidRDefault="005F1A65">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2A51" w:rsidRDefault="00C82A5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5C4B" w:rsidRDefault="006B5C4B" w:rsidP="00314328">
      <w:pPr>
        <w:spacing w:after="0" w:line="240" w:lineRule="auto"/>
      </w:pPr>
      <w:r>
        <w:separator/>
      </w:r>
    </w:p>
  </w:footnote>
  <w:footnote w:type="continuationSeparator" w:id="0">
    <w:p w:rsidR="006B5C4B" w:rsidRDefault="006B5C4B" w:rsidP="0031432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2A51" w:rsidRDefault="00C82A51">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1035" w:rsidRDefault="0081091F">
    <w:pPr>
      <w:pStyle w:val="En-tte"/>
    </w:pPr>
    <w:r>
      <w:t xml:space="preserve">BTS CG – P3 - </w:t>
    </w:r>
    <w:r w:rsidR="00C82A51">
      <w:t>R</w:t>
    </w:r>
    <w:r w:rsidR="006D1035">
      <w:t>1</w:t>
    </w:r>
    <w:r>
      <w:t xml:space="preserve"> </w:t>
    </w:r>
  </w:p>
  <w:p w:rsidR="006D1035" w:rsidRDefault="006D1035">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2A51" w:rsidRDefault="00C82A51">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0C63"/>
    <w:multiLevelType w:val="hybridMultilevel"/>
    <w:tmpl w:val="2EEA37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521161"/>
    <w:multiLevelType w:val="hybridMultilevel"/>
    <w:tmpl w:val="FB1AB3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2DF30C6"/>
    <w:multiLevelType w:val="hybridMultilevel"/>
    <w:tmpl w:val="42C4B260"/>
    <w:lvl w:ilvl="0" w:tplc="052A5B62">
      <w:start w:val="82"/>
      <w:numFmt w:val="bullet"/>
      <w:lvlText w:val="-"/>
      <w:lvlJc w:val="left"/>
      <w:pPr>
        <w:ind w:left="720" w:hanging="360"/>
      </w:pPr>
      <w:rPr>
        <w:rFonts w:ascii="MyriadPro-Regular" w:eastAsiaTheme="minorHAnsi" w:hAnsi="MyriadPro-Regular" w:cs="MyriadPro-Regula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AB70E1B"/>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2FA005E"/>
    <w:multiLevelType w:val="hybridMultilevel"/>
    <w:tmpl w:val="B46E68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B1A3EFA"/>
    <w:multiLevelType w:val="hybridMultilevel"/>
    <w:tmpl w:val="692058A4"/>
    <w:lvl w:ilvl="0" w:tplc="1578F412">
      <w:start w:val="1"/>
      <w:numFmt w:val="bullet"/>
      <w:lvlText w:val=""/>
      <w:lvlJc w:val="left"/>
      <w:pPr>
        <w:ind w:left="360" w:hanging="360"/>
      </w:pPr>
      <w:rPr>
        <w:rFonts w:ascii="Symbol" w:hAnsi="Symbol" w:hint="default"/>
        <w:b/>
        <w:i w:val="0"/>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nsid w:val="34AB3CD8"/>
    <w:multiLevelType w:val="hybridMultilevel"/>
    <w:tmpl w:val="5C349D4A"/>
    <w:lvl w:ilvl="0" w:tplc="4800AE9E">
      <w:start w:val="8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60B0506"/>
    <w:multiLevelType w:val="hybridMultilevel"/>
    <w:tmpl w:val="C81EA4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66A4382"/>
    <w:multiLevelType w:val="hybridMultilevel"/>
    <w:tmpl w:val="31AE5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EF210E2"/>
    <w:multiLevelType w:val="hybridMultilevel"/>
    <w:tmpl w:val="D3F4D642"/>
    <w:lvl w:ilvl="0" w:tplc="1578F412">
      <w:start w:val="1"/>
      <w:numFmt w:val="bullet"/>
      <w:lvlText w:val=""/>
      <w:lvlJc w:val="left"/>
      <w:pPr>
        <w:ind w:left="720" w:hanging="360"/>
      </w:pPr>
      <w:rPr>
        <w:rFonts w:ascii="Symbol" w:hAnsi="Symbol" w:hint="default"/>
        <w:b/>
        <w:i w:val="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43B5366"/>
    <w:multiLevelType w:val="hybridMultilevel"/>
    <w:tmpl w:val="6A9EA65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45214E4F"/>
    <w:multiLevelType w:val="hybridMultilevel"/>
    <w:tmpl w:val="E6724F1A"/>
    <w:lvl w:ilvl="0" w:tplc="1578F412">
      <w:start w:val="1"/>
      <w:numFmt w:val="bullet"/>
      <w:lvlText w:val=""/>
      <w:lvlJc w:val="left"/>
      <w:pPr>
        <w:ind w:left="720" w:hanging="360"/>
      </w:pPr>
      <w:rPr>
        <w:rFonts w:ascii="Symbol" w:hAnsi="Symbol" w:hint="default"/>
        <w:b/>
        <w:i w:val="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8E379DA"/>
    <w:multiLevelType w:val="hybridMultilevel"/>
    <w:tmpl w:val="F0022BEE"/>
    <w:lvl w:ilvl="0" w:tplc="1578F412">
      <w:start w:val="1"/>
      <w:numFmt w:val="bullet"/>
      <w:lvlText w:val=""/>
      <w:lvlJc w:val="left"/>
      <w:pPr>
        <w:ind w:left="360" w:hanging="360"/>
      </w:pPr>
      <w:rPr>
        <w:rFonts w:ascii="Symbol" w:hAnsi="Symbol" w:hint="default"/>
        <w:b/>
        <w:i w:val="0"/>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nsid w:val="49062273"/>
    <w:multiLevelType w:val="hybridMultilevel"/>
    <w:tmpl w:val="C2E6AA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A1E319B"/>
    <w:multiLevelType w:val="singleLevel"/>
    <w:tmpl w:val="945C0376"/>
    <w:lvl w:ilvl="0">
      <w:numFmt w:val="bullet"/>
      <w:lvlText w:val="-"/>
      <w:lvlJc w:val="left"/>
      <w:pPr>
        <w:tabs>
          <w:tab w:val="num" w:pos="360"/>
        </w:tabs>
        <w:ind w:left="360" w:hanging="360"/>
      </w:pPr>
      <w:rPr>
        <w:rFonts w:ascii="Times New Roman" w:hAnsi="Times New Roman" w:hint="default"/>
      </w:rPr>
    </w:lvl>
  </w:abstractNum>
  <w:abstractNum w:abstractNumId="15">
    <w:nsid w:val="4B635ED4"/>
    <w:multiLevelType w:val="hybridMultilevel"/>
    <w:tmpl w:val="8040B0E8"/>
    <w:lvl w:ilvl="0" w:tplc="052A5B62">
      <w:start w:val="82"/>
      <w:numFmt w:val="bullet"/>
      <w:lvlText w:val="-"/>
      <w:lvlJc w:val="left"/>
      <w:pPr>
        <w:ind w:left="720" w:hanging="360"/>
      </w:pPr>
      <w:rPr>
        <w:rFonts w:ascii="MyriadPro-Regular" w:eastAsiaTheme="minorHAnsi" w:hAnsi="MyriadPro-Regular" w:cs="MyriadPro-Regula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F7E53EB"/>
    <w:multiLevelType w:val="hybridMultilevel"/>
    <w:tmpl w:val="26A86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02317FC"/>
    <w:multiLevelType w:val="hybridMultilevel"/>
    <w:tmpl w:val="A814AC56"/>
    <w:lvl w:ilvl="0" w:tplc="4800AE9E">
      <w:start w:val="8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CD811B7"/>
    <w:multiLevelType w:val="hybridMultilevel"/>
    <w:tmpl w:val="09AEADEA"/>
    <w:lvl w:ilvl="0" w:tplc="1578F412">
      <w:start w:val="1"/>
      <w:numFmt w:val="bullet"/>
      <w:lvlText w:val=""/>
      <w:lvlJc w:val="left"/>
      <w:pPr>
        <w:ind w:left="360" w:hanging="360"/>
      </w:pPr>
      <w:rPr>
        <w:rFonts w:ascii="Symbol" w:hAnsi="Symbol" w:hint="default"/>
        <w:b/>
        <w:i w:val="0"/>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nsid w:val="606C4F00"/>
    <w:multiLevelType w:val="hybridMultilevel"/>
    <w:tmpl w:val="07FC8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6A51CA5"/>
    <w:multiLevelType w:val="hybridMultilevel"/>
    <w:tmpl w:val="477026A8"/>
    <w:lvl w:ilvl="0" w:tplc="1578F412">
      <w:start w:val="1"/>
      <w:numFmt w:val="bullet"/>
      <w:lvlText w:val=""/>
      <w:lvlJc w:val="left"/>
      <w:pPr>
        <w:ind w:left="720" w:hanging="360"/>
      </w:pPr>
      <w:rPr>
        <w:rFonts w:ascii="Symbol" w:hAnsi="Symbol" w:hint="default"/>
        <w:b/>
        <w:i w:val="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87F282F"/>
    <w:multiLevelType w:val="hybridMultilevel"/>
    <w:tmpl w:val="90CC65FE"/>
    <w:lvl w:ilvl="0" w:tplc="1578F412">
      <w:start w:val="1"/>
      <w:numFmt w:val="bullet"/>
      <w:lvlText w:val=""/>
      <w:lvlJc w:val="left"/>
      <w:pPr>
        <w:ind w:left="720" w:hanging="360"/>
      </w:pPr>
      <w:rPr>
        <w:rFonts w:ascii="Symbol" w:hAnsi="Symbol" w:hint="default"/>
        <w:b/>
        <w:i w:val="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0280B32"/>
    <w:multiLevelType w:val="multilevel"/>
    <w:tmpl w:val="42B8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FF20D2"/>
    <w:multiLevelType w:val="hybridMultilevel"/>
    <w:tmpl w:val="89CE4064"/>
    <w:lvl w:ilvl="0" w:tplc="040C000B">
      <w:start w:val="1"/>
      <w:numFmt w:val="bullet"/>
      <w:lvlText w:val=""/>
      <w:lvlJc w:val="left"/>
      <w:pPr>
        <w:ind w:left="720" w:hanging="360"/>
      </w:pPr>
      <w:rPr>
        <w:rFonts w:ascii="Wingdings" w:hAnsi="Wingdings" w:hint="default"/>
        <w:b/>
        <w:i w:val="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7907485C"/>
    <w:multiLevelType w:val="hybridMultilevel"/>
    <w:tmpl w:val="62E09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B3C09A7"/>
    <w:multiLevelType w:val="hybridMultilevel"/>
    <w:tmpl w:val="22AC840C"/>
    <w:lvl w:ilvl="0" w:tplc="4800AE9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B507659"/>
    <w:multiLevelType w:val="multilevel"/>
    <w:tmpl w:val="18CC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4"/>
  </w:num>
  <w:num w:numId="4">
    <w:abstractNumId w:val="19"/>
  </w:num>
  <w:num w:numId="5">
    <w:abstractNumId w:val="26"/>
  </w:num>
  <w:num w:numId="6">
    <w:abstractNumId w:val="22"/>
  </w:num>
  <w:num w:numId="7">
    <w:abstractNumId w:val="8"/>
  </w:num>
  <w:num w:numId="8">
    <w:abstractNumId w:val="7"/>
  </w:num>
  <w:num w:numId="9">
    <w:abstractNumId w:val="3"/>
  </w:num>
  <w:num w:numId="10">
    <w:abstractNumId w:val="16"/>
  </w:num>
  <w:num w:numId="11">
    <w:abstractNumId w:val="13"/>
  </w:num>
  <w:num w:numId="12">
    <w:abstractNumId w:val="23"/>
  </w:num>
  <w:num w:numId="13">
    <w:abstractNumId w:val="5"/>
  </w:num>
  <w:num w:numId="14">
    <w:abstractNumId w:val="2"/>
  </w:num>
  <w:num w:numId="15">
    <w:abstractNumId w:val="15"/>
  </w:num>
  <w:num w:numId="16">
    <w:abstractNumId w:val="6"/>
  </w:num>
  <w:num w:numId="17">
    <w:abstractNumId w:val="17"/>
  </w:num>
  <w:num w:numId="18">
    <w:abstractNumId w:val="12"/>
  </w:num>
  <w:num w:numId="19">
    <w:abstractNumId w:val="18"/>
  </w:num>
  <w:num w:numId="20">
    <w:abstractNumId w:val="25"/>
  </w:num>
  <w:num w:numId="21">
    <w:abstractNumId w:val="9"/>
  </w:num>
  <w:num w:numId="22">
    <w:abstractNumId w:val="20"/>
  </w:num>
  <w:num w:numId="23">
    <w:abstractNumId w:val="11"/>
  </w:num>
  <w:num w:numId="24">
    <w:abstractNumId w:val="21"/>
  </w:num>
  <w:num w:numId="25">
    <w:abstractNumId w:val="14"/>
  </w:num>
  <w:num w:numId="26">
    <w:abstractNumId w:val="10"/>
  </w:num>
  <w:num w:numId="2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rsids>
    <w:rsidRoot w:val="001713E3"/>
    <w:rsid w:val="0006690B"/>
    <w:rsid w:val="000755C8"/>
    <w:rsid w:val="000E72B3"/>
    <w:rsid w:val="00106A75"/>
    <w:rsid w:val="00117F5B"/>
    <w:rsid w:val="00152143"/>
    <w:rsid w:val="00157076"/>
    <w:rsid w:val="00167C80"/>
    <w:rsid w:val="001713E3"/>
    <w:rsid w:val="00184D3A"/>
    <w:rsid w:val="0018681B"/>
    <w:rsid w:val="001B0E27"/>
    <w:rsid w:val="001D589F"/>
    <w:rsid w:val="00204050"/>
    <w:rsid w:val="00236978"/>
    <w:rsid w:val="00260116"/>
    <w:rsid w:val="00290210"/>
    <w:rsid w:val="002B0AA7"/>
    <w:rsid w:val="002B79D4"/>
    <w:rsid w:val="002F25FF"/>
    <w:rsid w:val="002F37BE"/>
    <w:rsid w:val="00314328"/>
    <w:rsid w:val="003B6928"/>
    <w:rsid w:val="003D5542"/>
    <w:rsid w:val="003E0CFF"/>
    <w:rsid w:val="00436138"/>
    <w:rsid w:val="00484569"/>
    <w:rsid w:val="004D3EA9"/>
    <w:rsid w:val="004E45F0"/>
    <w:rsid w:val="00501FF4"/>
    <w:rsid w:val="005179C0"/>
    <w:rsid w:val="00523D7B"/>
    <w:rsid w:val="00531766"/>
    <w:rsid w:val="00541BC3"/>
    <w:rsid w:val="00542706"/>
    <w:rsid w:val="00545BD5"/>
    <w:rsid w:val="00546DF4"/>
    <w:rsid w:val="00597252"/>
    <w:rsid w:val="005A33B6"/>
    <w:rsid w:val="005A4C0E"/>
    <w:rsid w:val="005E7334"/>
    <w:rsid w:val="005F1A65"/>
    <w:rsid w:val="006012E8"/>
    <w:rsid w:val="00611B0A"/>
    <w:rsid w:val="0063616A"/>
    <w:rsid w:val="00637FC5"/>
    <w:rsid w:val="0067045B"/>
    <w:rsid w:val="006B5C4B"/>
    <w:rsid w:val="006C15C0"/>
    <w:rsid w:val="006D1035"/>
    <w:rsid w:val="0079289D"/>
    <w:rsid w:val="00806C12"/>
    <w:rsid w:val="0081091F"/>
    <w:rsid w:val="00814848"/>
    <w:rsid w:val="00831D9F"/>
    <w:rsid w:val="008759BE"/>
    <w:rsid w:val="0088069B"/>
    <w:rsid w:val="00882C62"/>
    <w:rsid w:val="008A7F2D"/>
    <w:rsid w:val="008B6F0C"/>
    <w:rsid w:val="008C6A2D"/>
    <w:rsid w:val="008C7928"/>
    <w:rsid w:val="00911A47"/>
    <w:rsid w:val="009157A3"/>
    <w:rsid w:val="0094697A"/>
    <w:rsid w:val="0095446D"/>
    <w:rsid w:val="00997FA0"/>
    <w:rsid w:val="009B18F2"/>
    <w:rsid w:val="00A06434"/>
    <w:rsid w:val="00A10B28"/>
    <w:rsid w:val="00A32E88"/>
    <w:rsid w:val="00A43CC7"/>
    <w:rsid w:val="00A51FD3"/>
    <w:rsid w:val="00A767A1"/>
    <w:rsid w:val="00B56BEF"/>
    <w:rsid w:val="00B61079"/>
    <w:rsid w:val="00BE6A7B"/>
    <w:rsid w:val="00BF1017"/>
    <w:rsid w:val="00C70A3C"/>
    <w:rsid w:val="00C82A51"/>
    <w:rsid w:val="00C87EF3"/>
    <w:rsid w:val="00C9536F"/>
    <w:rsid w:val="00CB1FEB"/>
    <w:rsid w:val="00CC550A"/>
    <w:rsid w:val="00CF14D9"/>
    <w:rsid w:val="00D641F5"/>
    <w:rsid w:val="00D6609E"/>
    <w:rsid w:val="00D73B0B"/>
    <w:rsid w:val="00D9222F"/>
    <w:rsid w:val="00DB4C2A"/>
    <w:rsid w:val="00E036AE"/>
    <w:rsid w:val="00E07185"/>
    <w:rsid w:val="00E55F11"/>
    <w:rsid w:val="00EE65BF"/>
    <w:rsid w:val="00F06B2B"/>
    <w:rsid w:val="00F20B7E"/>
    <w:rsid w:val="00F326E6"/>
    <w:rsid w:val="00F45FF9"/>
    <w:rsid w:val="00F93BF5"/>
    <w:rsid w:val="00FA5C27"/>
    <w:rsid w:val="00FF0648"/>
    <w:rsid w:val="00FF324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C62"/>
  </w:style>
  <w:style w:type="paragraph" w:styleId="Titre3">
    <w:name w:val="heading 3"/>
    <w:basedOn w:val="Normal"/>
    <w:link w:val="Titre3Car"/>
    <w:uiPriority w:val="9"/>
    <w:qFormat/>
    <w:rsid w:val="00E0718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713E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713E3"/>
    <w:rPr>
      <w:rFonts w:ascii="Tahoma" w:hAnsi="Tahoma" w:cs="Tahoma"/>
      <w:sz w:val="16"/>
      <w:szCs w:val="16"/>
    </w:rPr>
  </w:style>
  <w:style w:type="table" w:styleId="Grilledutableau">
    <w:name w:val="Table Grid"/>
    <w:basedOn w:val="TableauNormal"/>
    <w:uiPriority w:val="39"/>
    <w:rsid w:val="001713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D73B0B"/>
    <w:pPr>
      <w:ind w:left="720"/>
      <w:contextualSpacing/>
    </w:pPr>
  </w:style>
  <w:style w:type="paragraph" w:styleId="En-tte">
    <w:name w:val="header"/>
    <w:basedOn w:val="Normal"/>
    <w:link w:val="En-tteCar"/>
    <w:uiPriority w:val="99"/>
    <w:unhideWhenUsed/>
    <w:rsid w:val="00314328"/>
    <w:pPr>
      <w:tabs>
        <w:tab w:val="center" w:pos="4536"/>
        <w:tab w:val="right" w:pos="9072"/>
      </w:tabs>
      <w:spacing w:after="0" w:line="240" w:lineRule="auto"/>
    </w:pPr>
  </w:style>
  <w:style w:type="character" w:customStyle="1" w:styleId="En-tteCar">
    <w:name w:val="En-tête Car"/>
    <w:basedOn w:val="Policepardfaut"/>
    <w:link w:val="En-tte"/>
    <w:uiPriority w:val="99"/>
    <w:rsid w:val="00314328"/>
  </w:style>
  <w:style w:type="paragraph" w:styleId="Pieddepage">
    <w:name w:val="footer"/>
    <w:basedOn w:val="Normal"/>
    <w:link w:val="PieddepageCar"/>
    <w:uiPriority w:val="99"/>
    <w:unhideWhenUsed/>
    <w:rsid w:val="003143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4328"/>
  </w:style>
  <w:style w:type="paragraph" w:styleId="NormalWeb">
    <w:name w:val="Normal (Web)"/>
    <w:basedOn w:val="Normal"/>
    <w:uiPriority w:val="99"/>
    <w:semiHidden/>
    <w:unhideWhenUsed/>
    <w:rsid w:val="00997FA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prix">
    <w:name w:val="prix"/>
    <w:basedOn w:val="Policepardfaut"/>
    <w:rsid w:val="00997FA0"/>
  </w:style>
  <w:style w:type="paragraph" w:styleId="Notedebasdepage">
    <w:name w:val="footnote text"/>
    <w:basedOn w:val="Normal"/>
    <w:link w:val="NotedebasdepageCar"/>
    <w:uiPriority w:val="99"/>
    <w:semiHidden/>
    <w:unhideWhenUsed/>
    <w:rsid w:val="00A0643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06434"/>
    <w:rPr>
      <w:sz w:val="20"/>
      <w:szCs w:val="20"/>
    </w:rPr>
  </w:style>
  <w:style w:type="character" w:styleId="Appelnotedebasdep">
    <w:name w:val="footnote reference"/>
    <w:basedOn w:val="Policepardfaut"/>
    <w:uiPriority w:val="99"/>
    <w:semiHidden/>
    <w:unhideWhenUsed/>
    <w:rsid w:val="00A06434"/>
    <w:rPr>
      <w:vertAlign w:val="superscript"/>
    </w:rPr>
  </w:style>
  <w:style w:type="character" w:customStyle="1" w:styleId="Titre3Car">
    <w:name w:val="Titre 3 Car"/>
    <w:basedOn w:val="Policepardfaut"/>
    <w:link w:val="Titre3"/>
    <w:uiPriority w:val="9"/>
    <w:rsid w:val="00E07185"/>
    <w:rPr>
      <w:rFonts w:ascii="Times New Roman" w:eastAsia="Times New Roman" w:hAnsi="Times New Roman" w:cs="Times New Roman"/>
      <w:b/>
      <w:bCs/>
      <w:sz w:val="27"/>
      <w:szCs w:val="27"/>
      <w:lang w:eastAsia="fr-FR"/>
    </w:rPr>
  </w:style>
  <w:style w:type="character" w:styleId="Lienhypertexte">
    <w:name w:val="Hyperlink"/>
    <w:basedOn w:val="Policepardfaut"/>
    <w:uiPriority w:val="99"/>
    <w:unhideWhenUsed/>
    <w:rsid w:val="00E07185"/>
    <w:rPr>
      <w:color w:val="0000FF"/>
      <w:u w:val="single"/>
    </w:rPr>
  </w:style>
</w:styles>
</file>

<file path=word/webSettings.xml><?xml version="1.0" encoding="utf-8"?>
<w:webSettings xmlns:r="http://schemas.openxmlformats.org/officeDocument/2006/relationships" xmlns:w="http://schemas.openxmlformats.org/wordprocessingml/2006/main">
  <w:divs>
    <w:div w:id="141317774">
      <w:bodyDiv w:val="1"/>
      <w:marLeft w:val="0"/>
      <w:marRight w:val="0"/>
      <w:marTop w:val="0"/>
      <w:marBottom w:val="0"/>
      <w:divBdr>
        <w:top w:val="none" w:sz="0" w:space="0" w:color="auto"/>
        <w:left w:val="none" w:sz="0" w:space="0" w:color="auto"/>
        <w:bottom w:val="none" w:sz="0" w:space="0" w:color="auto"/>
        <w:right w:val="none" w:sz="0" w:space="0" w:color="auto"/>
      </w:divBdr>
    </w:div>
    <w:div w:id="650713403">
      <w:bodyDiv w:val="1"/>
      <w:marLeft w:val="0"/>
      <w:marRight w:val="0"/>
      <w:marTop w:val="0"/>
      <w:marBottom w:val="0"/>
      <w:divBdr>
        <w:top w:val="none" w:sz="0" w:space="0" w:color="auto"/>
        <w:left w:val="none" w:sz="0" w:space="0" w:color="auto"/>
        <w:bottom w:val="none" w:sz="0" w:space="0" w:color="auto"/>
        <w:right w:val="none" w:sz="0" w:space="0" w:color="auto"/>
      </w:divBdr>
    </w:div>
    <w:div w:id="1065110171">
      <w:bodyDiv w:val="1"/>
      <w:marLeft w:val="0"/>
      <w:marRight w:val="0"/>
      <w:marTop w:val="0"/>
      <w:marBottom w:val="0"/>
      <w:divBdr>
        <w:top w:val="none" w:sz="0" w:space="0" w:color="auto"/>
        <w:left w:val="none" w:sz="0" w:space="0" w:color="auto"/>
        <w:bottom w:val="none" w:sz="0" w:space="0" w:color="auto"/>
        <w:right w:val="none" w:sz="0" w:space="0" w:color="auto"/>
      </w:divBdr>
    </w:div>
    <w:div w:id="1416627137">
      <w:bodyDiv w:val="1"/>
      <w:marLeft w:val="0"/>
      <w:marRight w:val="0"/>
      <w:marTop w:val="0"/>
      <w:marBottom w:val="0"/>
      <w:divBdr>
        <w:top w:val="none" w:sz="0" w:space="0" w:color="auto"/>
        <w:left w:val="none" w:sz="0" w:space="0" w:color="auto"/>
        <w:bottom w:val="none" w:sz="0" w:space="0" w:color="auto"/>
        <w:right w:val="none" w:sz="0" w:space="0" w:color="auto"/>
      </w:divBdr>
    </w:div>
    <w:div w:id="1542089108">
      <w:bodyDiv w:val="1"/>
      <w:marLeft w:val="0"/>
      <w:marRight w:val="0"/>
      <w:marTop w:val="0"/>
      <w:marBottom w:val="0"/>
      <w:divBdr>
        <w:top w:val="none" w:sz="0" w:space="0" w:color="auto"/>
        <w:left w:val="none" w:sz="0" w:space="0" w:color="auto"/>
        <w:bottom w:val="none" w:sz="0" w:space="0" w:color="auto"/>
        <w:right w:val="none" w:sz="0" w:space="0" w:color="auto"/>
      </w:divBdr>
    </w:div>
    <w:div w:id="1556743189">
      <w:bodyDiv w:val="1"/>
      <w:marLeft w:val="0"/>
      <w:marRight w:val="0"/>
      <w:marTop w:val="0"/>
      <w:marBottom w:val="0"/>
      <w:divBdr>
        <w:top w:val="none" w:sz="0" w:space="0" w:color="auto"/>
        <w:left w:val="none" w:sz="0" w:space="0" w:color="auto"/>
        <w:bottom w:val="none" w:sz="0" w:space="0" w:color="auto"/>
        <w:right w:val="none" w:sz="0" w:space="0" w:color="auto"/>
      </w:divBdr>
    </w:div>
    <w:div w:id="1560247897">
      <w:bodyDiv w:val="1"/>
      <w:marLeft w:val="0"/>
      <w:marRight w:val="0"/>
      <w:marTop w:val="0"/>
      <w:marBottom w:val="0"/>
      <w:divBdr>
        <w:top w:val="none" w:sz="0" w:space="0" w:color="auto"/>
        <w:left w:val="none" w:sz="0" w:space="0" w:color="auto"/>
        <w:bottom w:val="none" w:sz="0" w:space="0" w:color="auto"/>
        <w:right w:val="none" w:sz="0" w:space="0" w:color="auto"/>
      </w:divBdr>
    </w:div>
    <w:div w:id="166181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ADAFEC-B19F-4031-8A54-A142C6893B6D}" type="doc">
      <dgm:prSet loTypeId="urn:microsoft.com/office/officeart/2005/8/layout/pyramid2" loCatId="list" qsTypeId="urn:microsoft.com/office/officeart/2005/8/quickstyle/simple1" qsCatId="simple" csTypeId="urn:microsoft.com/office/officeart/2005/8/colors/accent1_2" csCatId="accent1" phldr="1"/>
      <dgm:spPr/>
    </dgm:pt>
    <dgm:pt modelId="{B31B95E7-9517-4B14-9CBE-177B40FD85B1}">
      <dgm:prSet phldrT="[Texte]" custT="1"/>
      <dgm:spPr/>
      <dgm:t>
        <a:bodyPr/>
        <a:lstStyle/>
        <a:p>
          <a:r>
            <a:rPr lang="fr-FR" sz="1400"/>
            <a:t>Constitution</a:t>
          </a:r>
        </a:p>
      </dgm:t>
    </dgm:pt>
    <dgm:pt modelId="{CCFA4C41-0FEA-45B4-939C-D1A09FC066D7}" type="parTrans" cxnId="{7E5F0374-639D-489D-BF23-3B1AA79F8C4E}">
      <dgm:prSet/>
      <dgm:spPr/>
      <dgm:t>
        <a:bodyPr/>
        <a:lstStyle/>
        <a:p>
          <a:endParaRPr lang="fr-FR"/>
        </a:p>
      </dgm:t>
    </dgm:pt>
    <dgm:pt modelId="{A3DC07E2-620D-4FF5-8D12-0C01CF3DE858}" type="sibTrans" cxnId="{7E5F0374-639D-489D-BF23-3B1AA79F8C4E}">
      <dgm:prSet/>
      <dgm:spPr/>
      <dgm:t>
        <a:bodyPr/>
        <a:lstStyle/>
        <a:p>
          <a:endParaRPr lang="fr-FR"/>
        </a:p>
      </dgm:t>
    </dgm:pt>
    <dgm:pt modelId="{1F182E52-4071-4A23-86D9-0A558733F940}">
      <dgm:prSet phldrT="[Texte]" custT="1"/>
      <dgm:spPr/>
      <dgm:t>
        <a:bodyPr/>
        <a:lstStyle/>
        <a:p>
          <a:r>
            <a:rPr lang="fr-FR" sz="1400"/>
            <a:t>Traités internationaux</a:t>
          </a:r>
        </a:p>
      </dgm:t>
    </dgm:pt>
    <dgm:pt modelId="{4C322818-21D5-4AFF-9A31-0337AEE8E7EA}" type="parTrans" cxnId="{CD1D2718-3EC7-4D34-BA74-102CD1F95993}">
      <dgm:prSet/>
      <dgm:spPr/>
      <dgm:t>
        <a:bodyPr/>
        <a:lstStyle/>
        <a:p>
          <a:endParaRPr lang="fr-FR"/>
        </a:p>
      </dgm:t>
    </dgm:pt>
    <dgm:pt modelId="{86D0A683-9416-43E1-8C24-B03C386CF01C}" type="sibTrans" cxnId="{CD1D2718-3EC7-4D34-BA74-102CD1F95993}">
      <dgm:prSet/>
      <dgm:spPr/>
      <dgm:t>
        <a:bodyPr/>
        <a:lstStyle/>
        <a:p>
          <a:endParaRPr lang="fr-FR"/>
        </a:p>
      </dgm:t>
    </dgm:pt>
    <dgm:pt modelId="{94CAC726-69E4-4376-AF71-7F803DCE4261}">
      <dgm:prSet phldrT="[Texte]" custT="1"/>
      <dgm:spPr/>
      <dgm:t>
        <a:bodyPr/>
        <a:lstStyle/>
        <a:p>
          <a:r>
            <a:rPr lang="fr-FR" sz="1400"/>
            <a:t>Droit communautaire</a:t>
          </a:r>
        </a:p>
      </dgm:t>
    </dgm:pt>
    <dgm:pt modelId="{DFDE6AF7-9C98-4CEF-B79B-52C41F5F4FED}" type="parTrans" cxnId="{7AADDB37-59A6-472B-9345-FDB870988BC7}">
      <dgm:prSet/>
      <dgm:spPr/>
      <dgm:t>
        <a:bodyPr/>
        <a:lstStyle/>
        <a:p>
          <a:endParaRPr lang="fr-FR"/>
        </a:p>
      </dgm:t>
    </dgm:pt>
    <dgm:pt modelId="{CC090457-1FF1-422E-BC5D-BF71227CE458}" type="sibTrans" cxnId="{7AADDB37-59A6-472B-9345-FDB870988BC7}">
      <dgm:prSet/>
      <dgm:spPr/>
      <dgm:t>
        <a:bodyPr/>
        <a:lstStyle/>
        <a:p>
          <a:endParaRPr lang="fr-FR"/>
        </a:p>
      </dgm:t>
    </dgm:pt>
    <dgm:pt modelId="{1271BC9C-93F2-419C-96D2-71D5001B3742}">
      <dgm:prSet custT="1"/>
      <dgm:spPr/>
      <dgm:t>
        <a:bodyPr/>
        <a:lstStyle/>
        <a:p>
          <a:r>
            <a:rPr lang="fr-FR" sz="1400"/>
            <a:t>Lois</a:t>
          </a:r>
        </a:p>
      </dgm:t>
    </dgm:pt>
    <dgm:pt modelId="{E9CD24F5-D3F2-4025-848A-B40B0EBEAB23}" type="parTrans" cxnId="{73E81907-2167-4A83-85D6-F8ECFEFD61AB}">
      <dgm:prSet/>
      <dgm:spPr/>
      <dgm:t>
        <a:bodyPr/>
        <a:lstStyle/>
        <a:p>
          <a:endParaRPr lang="fr-FR"/>
        </a:p>
      </dgm:t>
    </dgm:pt>
    <dgm:pt modelId="{033B5BA9-AC76-4F39-98E1-E679572E1B6E}" type="sibTrans" cxnId="{73E81907-2167-4A83-85D6-F8ECFEFD61AB}">
      <dgm:prSet/>
      <dgm:spPr/>
      <dgm:t>
        <a:bodyPr/>
        <a:lstStyle/>
        <a:p>
          <a:endParaRPr lang="fr-FR"/>
        </a:p>
      </dgm:t>
    </dgm:pt>
    <dgm:pt modelId="{5CDF664D-8109-426C-B9BF-5FC031E3C8AF}">
      <dgm:prSet custT="1"/>
      <dgm:spPr/>
      <dgm:t>
        <a:bodyPr/>
        <a:lstStyle/>
        <a:p>
          <a:r>
            <a:rPr lang="fr-FR" sz="1400"/>
            <a:t>Jurisprudence</a:t>
          </a:r>
        </a:p>
      </dgm:t>
    </dgm:pt>
    <dgm:pt modelId="{0E99D64D-98D1-4391-B230-1F31E5CBC451}" type="parTrans" cxnId="{441E2276-34ED-4518-9A7F-7D3205F0CA7C}">
      <dgm:prSet/>
      <dgm:spPr/>
      <dgm:t>
        <a:bodyPr/>
        <a:lstStyle/>
        <a:p>
          <a:endParaRPr lang="fr-FR"/>
        </a:p>
      </dgm:t>
    </dgm:pt>
    <dgm:pt modelId="{530B0E9F-DE9B-4BDE-AF91-B913D218A797}" type="sibTrans" cxnId="{441E2276-34ED-4518-9A7F-7D3205F0CA7C}">
      <dgm:prSet/>
      <dgm:spPr/>
      <dgm:t>
        <a:bodyPr/>
        <a:lstStyle/>
        <a:p>
          <a:endParaRPr lang="fr-FR"/>
        </a:p>
      </dgm:t>
    </dgm:pt>
    <dgm:pt modelId="{57A9EE8B-3EC8-4DFC-907F-7516B1A1888E}">
      <dgm:prSet custT="1"/>
      <dgm:spPr/>
      <dgm:t>
        <a:bodyPr/>
        <a:lstStyle/>
        <a:p>
          <a:r>
            <a:rPr lang="fr-FR" sz="1400"/>
            <a:t>Décrets</a:t>
          </a:r>
        </a:p>
      </dgm:t>
    </dgm:pt>
    <dgm:pt modelId="{7C0A2607-818E-4734-B1CC-EDA0750C31B8}" type="parTrans" cxnId="{DB7DC301-5FFD-48CC-BF84-62261A88DABD}">
      <dgm:prSet/>
      <dgm:spPr/>
      <dgm:t>
        <a:bodyPr/>
        <a:lstStyle/>
        <a:p>
          <a:endParaRPr lang="fr-FR"/>
        </a:p>
      </dgm:t>
    </dgm:pt>
    <dgm:pt modelId="{E4A0D12D-C113-4ADE-AE54-11B11404D422}" type="sibTrans" cxnId="{DB7DC301-5FFD-48CC-BF84-62261A88DABD}">
      <dgm:prSet/>
      <dgm:spPr/>
      <dgm:t>
        <a:bodyPr/>
        <a:lstStyle/>
        <a:p>
          <a:endParaRPr lang="fr-FR"/>
        </a:p>
      </dgm:t>
    </dgm:pt>
    <dgm:pt modelId="{EC6E3741-E15A-490E-BE62-28D95F304C8C}">
      <dgm:prSet custT="1"/>
      <dgm:spPr/>
      <dgm:t>
        <a:bodyPr/>
        <a:lstStyle/>
        <a:p>
          <a:r>
            <a:rPr lang="fr-FR" sz="1400"/>
            <a:t>Arrêtés</a:t>
          </a:r>
        </a:p>
      </dgm:t>
    </dgm:pt>
    <dgm:pt modelId="{64DBE6E7-2816-46D9-9817-F4057EEA0D08}" type="parTrans" cxnId="{FEA086D5-30D2-411F-821F-AE92AF5DE00E}">
      <dgm:prSet/>
      <dgm:spPr/>
      <dgm:t>
        <a:bodyPr/>
        <a:lstStyle/>
        <a:p>
          <a:endParaRPr lang="fr-FR"/>
        </a:p>
      </dgm:t>
    </dgm:pt>
    <dgm:pt modelId="{FBE89AB0-40BB-44A2-ACFC-B4C1FFD60596}" type="sibTrans" cxnId="{FEA086D5-30D2-411F-821F-AE92AF5DE00E}">
      <dgm:prSet/>
      <dgm:spPr/>
      <dgm:t>
        <a:bodyPr/>
        <a:lstStyle/>
        <a:p>
          <a:endParaRPr lang="fr-FR"/>
        </a:p>
      </dgm:t>
    </dgm:pt>
    <dgm:pt modelId="{CF1CC7ED-3A91-47E2-A205-4520DB754D4C}">
      <dgm:prSet custT="1"/>
      <dgm:spPr/>
      <dgm:t>
        <a:bodyPr/>
        <a:lstStyle/>
        <a:p>
          <a:r>
            <a:rPr lang="fr-FR" sz="1400"/>
            <a:t>Conventions collectives</a:t>
          </a:r>
        </a:p>
      </dgm:t>
    </dgm:pt>
    <dgm:pt modelId="{21978AC8-DE44-40E7-84D9-68B04E3E6AE8}" type="parTrans" cxnId="{5B805FB3-61B7-4EED-A434-6E9F9C6FFAB6}">
      <dgm:prSet/>
      <dgm:spPr/>
      <dgm:t>
        <a:bodyPr/>
        <a:lstStyle/>
        <a:p>
          <a:endParaRPr lang="fr-FR"/>
        </a:p>
      </dgm:t>
    </dgm:pt>
    <dgm:pt modelId="{9D92A793-295B-430D-AD26-F43B59605DE3}" type="sibTrans" cxnId="{5B805FB3-61B7-4EED-A434-6E9F9C6FFAB6}">
      <dgm:prSet/>
      <dgm:spPr/>
      <dgm:t>
        <a:bodyPr/>
        <a:lstStyle/>
        <a:p>
          <a:endParaRPr lang="fr-FR"/>
        </a:p>
      </dgm:t>
    </dgm:pt>
    <dgm:pt modelId="{914DD733-6688-410F-8BB1-E6D8FD19E4B3}" type="pres">
      <dgm:prSet presAssocID="{97ADAFEC-B19F-4031-8A54-A142C6893B6D}" presName="compositeShape" presStyleCnt="0">
        <dgm:presLayoutVars>
          <dgm:dir/>
          <dgm:resizeHandles/>
        </dgm:presLayoutVars>
      </dgm:prSet>
      <dgm:spPr/>
    </dgm:pt>
    <dgm:pt modelId="{170C09A7-D2A4-466A-BDA9-F584C3D8DE1C}" type="pres">
      <dgm:prSet presAssocID="{97ADAFEC-B19F-4031-8A54-A142C6893B6D}" presName="pyramid" presStyleLbl="node1" presStyleIdx="0" presStyleCnt="1" custScaleX="171667"/>
      <dgm:spPr/>
    </dgm:pt>
    <dgm:pt modelId="{8BF39D0D-D6A3-4CB9-ADDC-0EC2E39EB7AB}" type="pres">
      <dgm:prSet presAssocID="{97ADAFEC-B19F-4031-8A54-A142C6893B6D}" presName="theList" presStyleCnt="0"/>
      <dgm:spPr/>
    </dgm:pt>
    <dgm:pt modelId="{793F71A1-45ED-45AF-A05C-58E0D699CA5E}" type="pres">
      <dgm:prSet presAssocID="{B31B95E7-9517-4B14-9CBE-177B40FD85B1}" presName="aNode" presStyleLbl="fgAcc1" presStyleIdx="0" presStyleCnt="8" custScaleX="180815" custScaleY="121105" custLinFactY="1642" custLinFactNeighborX="-43589" custLinFactNeighborY="100000">
        <dgm:presLayoutVars>
          <dgm:bulletEnabled val="1"/>
        </dgm:presLayoutVars>
      </dgm:prSet>
      <dgm:spPr/>
      <dgm:t>
        <a:bodyPr/>
        <a:lstStyle/>
        <a:p>
          <a:endParaRPr lang="fr-FR"/>
        </a:p>
      </dgm:t>
    </dgm:pt>
    <dgm:pt modelId="{4E8712E9-87F4-4E01-83E9-A24A6307E571}" type="pres">
      <dgm:prSet presAssocID="{B31B95E7-9517-4B14-9CBE-177B40FD85B1}" presName="aSpace" presStyleCnt="0"/>
      <dgm:spPr/>
    </dgm:pt>
    <dgm:pt modelId="{B4BF4F58-0911-4E85-9FD0-8EDDAADA0D02}" type="pres">
      <dgm:prSet presAssocID="{1F182E52-4071-4A23-86D9-0A558733F940}" presName="aNode" presStyleLbl="fgAcc1" presStyleIdx="1" presStyleCnt="8" custScaleX="179030" custScaleY="135542" custLinFactNeighborX="-43956" custLinFactNeighborY="64301">
        <dgm:presLayoutVars>
          <dgm:bulletEnabled val="1"/>
        </dgm:presLayoutVars>
      </dgm:prSet>
      <dgm:spPr/>
      <dgm:t>
        <a:bodyPr/>
        <a:lstStyle/>
        <a:p>
          <a:endParaRPr lang="fr-FR"/>
        </a:p>
      </dgm:t>
    </dgm:pt>
    <dgm:pt modelId="{D0C0AD8B-5B82-4B8F-8990-5D6BC87BD99B}" type="pres">
      <dgm:prSet presAssocID="{1F182E52-4071-4A23-86D9-0A558733F940}" presName="aSpace" presStyleCnt="0"/>
      <dgm:spPr/>
    </dgm:pt>
    <dgm:pt modelId="{03699F5F-7DB8-47DB-824A-B3E43F626018}" type="pres">
      <dgm:prSet presAssocID="{94CAC726-69E4-4376-AF71-7F803DCE4261}" presName="aNode" presStyleLbl="fgAcc1" presStyleIdx="2" presStyleCnt="8" custScaleX="180678" custScaleY="131595" custLinFactNeighborX="-42491" custLinFactNeighborY="21434">
        <dgm:presLayoutVars>
          <dgm:bulletEnabled val="1"/>
        </dgm:presLayoutVars>
      </dgm:prSet>
      <dgm:spPr/>
      <dgm:t>
        <a:bodyPr/>
        <a:lstStyle/>
        <a:p>
          <a:endParaRPr lang="fr-FR"/>
        </a:p>
      </dgm:t>
    </dgm:pt>
    <dgm:pt modelId="{2DF012AA-2C06-47A2-A69F-798476FF9084}" type="pres">
      <dgm:prSet presAssocID="{94CAC726-69E4-4376-AF71-7F803DCE4261}" presName="aSpace" presStyleCnt="0"/>
      <dgm:spPr/>
    </dgm:pt>
    <dgm:pt modelId="{DC0AF893-5E00-4353-B525-AFA18B6B6CD2}" type="pres">
      <dgm:prSet presAssocID="{1271BC9C-93F2-419C-96D2-71D5001B3742}" presName="aNode" presStyleLbl="fgAcc1" presStyleIdx="3" presStyleCnt="8" custScaleX="178937" custScaleY="123234" custLinFactNeighborX="-42491" custLinFactNeighborY="42867">
        <dgm:presLayoutVars>
          <dgm:bulletEnabled val="1"/>
        </dgm:presLayoutVars>
      </dgm:prSet>
      <dgm:spPr/>
      <dgm:t>
        <a:bodyPr/>
        <a:lstStyle/>
        <a:p>
          <a:endParaRPr lang="fr-FR"/>
        </a:p>
      </dgm:t>
    </dgm:pt>
    <dgm:pt modelId="{2545277F-7B3E-42FC-B2F6-E1E7EB2E3131}" type="pres">
      <dgm:prSet presAssocID="{1271BC9C-93F2-419C-96D2-71D5001B3742}" presName="aSpace" presStyleCnt="0"/>
      <dgm:spPr/>
    </dgm:pt>
    <dgm:pt modelId="{D5A53E97-E115-4CDB-A2F5-3166CED710F7}" type="pres">
      <dgm:prSet presAssocID="{5CDF664D-8109-426C-B9BF-5FC031E3C8AF}" presName="aNode" presStyleLbl="fgAcc1" presStyleIdx="4" presStyleCnt="8" custScaleX="178938" custScaleY="136886" custLinFactNeighborX="-43223" custLinFactNeighborY="75018">
        <dgm:presLayoutVars>
          <dgm:bulletEnabled val="1"/>
        </dgm:presLayoutVars>
      </dgm:prSet>
      <dgm:spPr/>
      <dgm:t>
        <a:bodyPr/>
        <a:lstStyle/>
        <a:p>
          <a:endParaRPr lang="fr-FR"/>
        </a:p>
      </dgm:t>
    </dgm:pt>
    <dgm:pt modelId="{D8C72D81-B3EF-4A04-8329-2C0169A4801B}" type="pres">
      <dgm:prSet presAssocID="{5CDF664D-8109-426C-B9BF-5FC031E3C8AF}" presName="aSpace" presStyleCnt="0"/>
      <dgm:spPr/>
    </dgm:pt>
    <dgm:pt modelId="{CA6DD352-482C-4EAF-AF6D-E776B494DCCD}" type="pres">
      <dgm:prSet presAssocID="{57A9EE8B-3EC8-4DFC-907F-7516B1A1888E}" presName="aNode" presStyleLbl="fgAcc1" presStyleIdx="5" presStyleCnt="8" custScaleX="178938" custScaleY="134482" custLinFactY="6255" custLinFactNeighborX="-43223" custLinFactNeighborY="100000">
        <dgm:presLayoutVars>
          <dgm:bulletEnabled val="1"/>
        </dgm:presLayoutVars>
      </dgm:prSet>
      <dgm:spPr/>
      <dgm:t>
        <a:bodyPr/>
        <a:lstStyle/>
        <a:p>
          <a:endParaRPr lang="fr-FR"/>
        </a:p>
      </dgm:t>
    </dgm:pt>
    <dgm:pt modelId="{C34EF810-8C71-44C5-97A0-F62C323A06F0}" type="pres">
      <dgm:prSet presAssocID="{57A9EE8B-3EC8-4DFC-907F-7516B1A1888E}" presName="aSpace" presStyleCnt="0"/>
      <dgm:spPr/>
    </dgm:pt>
    <dgm:pt modelId="{12E18B1E-379F-4F1B-869C-6CBB57A47824}" type="pres">
      <dgm:prSet presAssocID="{EC6E3741-E15A-490E-BE62-28D95F304C8C}" presName="aNode" presStyleLbl="fgAcc1" presStyleIdx="6" presStyleCnt="8" custScaleX="180404" custScaleY="138528" custLinFactY="15631" custLinFactNeighborX="-42490" custLinFactNeighborY="100000">
        <dgm:presLayoutVars>
          <dgm:bulletEnabled val="1"/>
        </dgm:presLayoutVars>
      </dgm:prSet>
      <dgm:spPr/>
      <dgm:t>
        <a:bodyPr/>
        <a:lstStyle/>
        <a:p>
          <a:endParaRPr lang="fr-FR"/>
        </a:p>
      </dgm:t>
    </dgm:pt>
    <dgm:pt modelId="{07951353-12BE-4882-8916-F92D0651C269}" type="pres">
      <dgm:prSet presAssocID="{EC6E3741-E15A-490E-BE62-28D95F304C8C}" presName="aSpace" presStyleCnt="0"/>
      <dgm:spPr/>
    </dgm:pt>
    <dgm:pt modelId="{A4801434-5477-43E3-8DD3-FDA582B37824}" type="pres">
      <dgm:prSet presAssocID="{CF1CC7ED-3A91-47E2-A205-4520DB754D4C}" presName="aNode" presStyleLbl="fgAcc1" presStyleIdx="7" presStyleCnt="8" custScaleX="178937" custScaleY="133829" custLinFactY="30368" custLinFactNeighborX="-42491" custLinFactNeighborY="100000">
        <dgm:presLayoutVars>
          <dgm:bulletEnabled val="1"/>
        </dgm:presLayoutVars>
      </dgm:prSet>
      <dgm:spPr/>
      <dgm:t>
        <a:bodyPr/>
        <a:lstStyle/>
        <a:p>
          <a:endParaRPr lang="fr-FR"/>
        </a:p>
      </dgm:t>
    </dgm:pt>
    <dgm:pt modelId="{88B591F1-6D4D-4890-976C-65C1C384C7E1}" type="pres">
      <dgm:prSet presAssocID="{CF1CC7ED-3A91-47E2-A205-4520DB754D4C}" presName="aSpace" presStyleCnt="0"/>
      <dgm:spPr/>
    </dgm:pt>
  </dgm:ptLst>
  <dgm:cxnLst>
    <dgm:cxn modelId="{73E81907-2167-4A83-85D6-F8ECFEFD61AB}" srcId="{97ADAFEC-B19F-4031-8A54-A142C6893B6D}" destId="{1271BC9C-93F2-419C-96D2-71D5001B3742}" srcOrd="3" destOrd="0" parTransId="{E9CD24F5-D3F2-4025-848A-B40B0EBEAB23}" sibTransId="{033B5BA9-AC76-4F39-98E1-E679572E1B6E}"/>
    <dgm:cxn modelId="{149A6F90-145B-40DE-8A22-2FCB5D8C1027}" type="presOf" srcId="{1271BC9C-93F2-419C-96D2-71D5001B3742}" destId="{DC0AF893-5E00-4353-B525-AFA18B6B6CD2}" srcOrd="0" destOrd="0" presId="urn:microsoft.com/office/officeart/2005/8/layout/pyramid2"/>
    <dgm:cxn modelId="{3CEE94D1-536D-46C3-AF7C-CE744BFC5FC4}" type="presOf" srcId="{5CDF664D-8109-426C-B9BF-5FC031E3C8AF}" destId="{D5A53E97-E115-4CDB-A2F5-3166CED710F7}" srcOrd="0" destOrd="0" presId="urn:microsoft.com/office/officeart/2005/8/layout/pyramid2"/>
    <dgm:cxn modelId="{F7C37BFD-8F1B-4E76-B08B-91C16F3D506E}" type="presOf" srcId="{CF1CC7ED-3A91-47E2-A205-4520DB754D4C}" destId="{A4801434-5477-43E3-8DD3-FDA582B37824}" srcOrd="0" destOrd="0" presId="urn:microsoft.com/office/officeart/2005/8/layout/pyramid2"/>
    <dgm:cxn modelId="{5B805FB3-61B7-4EED-A434-6E9F9C6FFAB6}" srcId="{97ADAFEC-B19F-4031-8A54-A142C6893B6D}" destId="{CF1CC7ED-3A91-47E2-A205-4520DB754D4C}" srcOrd="7" destOrd="0" parTransId="{21978AC8-DE44-40E7-84D9-68B04E3E6AE8}" sibTransId="{9D92A793-295B-430D-AD26-F43B59605DE3}"/>
    <dgm:cxn modelId="{FEA086D5-30D2-411F-821F-AE92AF5DE00E}" srcId="{97ADAFEC-B19F-4031-8A54-A142C6893B6D}" destId="{EC6E3741-E15A-490E-BE62-28D95F304C8C}" srcOrd="6" destOrd="0" parTransId="{64DBE6E7-2816-46D9-9817-F4057EEA0D08}" sibTransId="{FBE89AB0-40BB-44A2-ACFC-B4C1FFD60596}"/>
    <dgm:cxn modelId="{7AADDB37-59A6-472B-9345-FDB870988BC7}" srcId="{97ADAFEC-B19F-4031-8A54-A142C6893B6D}" destId="{94CAC726-69E4-4376-AF71-7F803DCE4261}" srcOrd="2" destOrd="0" parTransId="{DFDE6AF7-9C98-4CEF-B79B-52C41F5F4FED}" sibTransId="{CC090457-1FF1-422E-BC5D-BF71227CE458}"/>
    <dgm:cxn modelId="{7E5F0374-639D-489D-BF23-3B1AA79F8C4E}" srcId="{97ADAFEC-B19F-4031-8A54-A142C6893B6D}" destId="{B31B95E7-9517-4B14-9CBE-177B40FD85B1}" srcOrd="0" destOrd="0" parTransId="{CCFA4C41-0FEA-45B4-939C-D1A09FC066D7}" sibTransId="{A3DC07E2-620D-4FF5-8D12-0C01CF3DE858}"/>
    <dgm:cxn modelId="{4233C03D-82E4-479C-A4B9-B0C8576A1F71}" type="presOf" srcId="{57A9EE8B-3EC8-4DFC-907F-7516B1A1888E}" destId="{CA6DD352-482C-4EAF-AF6D-E776B494DCCD}" srcOrd="0" destOrd="0" presId="urn:microsoft.com/office/officeart/2005/8/layout/pyramid2"/>
    <dgm:cxn modelId="{816121E9-95E8-46DB-AB53-7F288F96C9FD}" type="presOf" srcId="{EC6E3741-E15A-490E-BE62-28D95F304C8C}" destId="{12E18B1E-379F-4F1B-869C-6CBB57A47824}" srcOrd="0" destOrd="0" presId="urn:microsoft.com/office/officeart/2005/8/layout/pyramid2"/>
    <dgm:cxn modelId="{CD1D2718-3EC7-4D34-BA74-102CD1F95993}" srcId="{97ADAFEC-B19F-4031-8A54-A142C6893B6D}" destId="{1F182E52-4071-4A23-86D9-0A558733F940}" srcOrd="1" destOrd="0" parTransId="{4C322818-21D5-4AFF-9A31-0337AEE8E7EA}" sibTransId="{86D0A683-9416-43E1-8C24-B03C386CF01C}"/>
    <dgm:cxn modelId="{441E2276-34ED-4518-9A7F-7D3205F0CA7C}" srcId="{97ADAFEC-B19F-4031-8A54-A142C6893B6D}" destId="{5CDF664D-8109-426C-B9BF-5FC031E3C8AF}" srcOrd="4" destOrd="0" parTransId="{0E99D64D-98D1-4391-B230-1F31E5CBC451}" sibTransId="{530B0E9F-DE9B-4BDE-AF91-B913D218A797}"/>
    <dgm:cxn modelId="{54AAB989-9289-4294-B7C2-C8BA9E874DEC}" type="presOf" srcId="{97ADAFEC-B19F-4031-8A54-A142C6893B6D}" destId="{914DD733-6688-410F-8BB1-E6D8FD19E4B3}" srcOrd="0" destOrd="0" presId="urn:microsoft.com/office/officeart/2005/8/layout/pyramid2"/>
    <dgm:cxn modelId="{38760554-06FA-4A06-8B24-D64DEE7E5F74}" type="presOf" srcId="{94CAC726-69E4-4376-AF71-7F803DCE4261}" destId="{03699F5F-7DB8-47DB-824A-B3E43F626018}" srcOrd="0" destOrd="0" presId="urn:microsoft.com/office/officeart/2005/8/layout/pyramid2"/>
    <dgm:cxn modelId="{6BE1C50E-E715-4BE6-B813-76A75E5B8928}" type="presOf" srcId="{B31B95E7-9517-4B14-9CBE-177B40FD85B1}" destId="{793F71A1-45ED-45AF-A05C-58E0D699CA5E}" srcOrd="0" destOrd="0" presId="urn:microsoft.com/office/officeart/2005/8/layout/pyramid2"/>
    <dgm:cxn modelId="{DB7DC301-5FFD-48CC-BF84-62261A88DABD}" srcId="{97ADAFEC-B19F-4031-8A54-A142C6893B6D}" destId="{57A9EE8B-3EC8-4DFC-907F-7516B1A1888E}" srcOrd="5" destOrd="0" parTransId="{7C0A2607-818E-4734-B1CC-EDA0750C31B8}" sibTransId="{E4A0D12D-C113-4ADE-AE54-11B11404D422}"/>
    <dgm:cxn modelId="{81B38A62-1961-4BAD-9473-392B7667EDAA}" type="presOf" srcId="{1F182E52-4071-4A23-86D9-0A558733F940}" destId="{B4BF4F58-0911-4E85-9FD0-8EDDAADA0D02}" srcOrd="0" destOrd="0" presId="urn:microsoft.com/office/officeart/2005/8/layout/pyramid2"/>
    <dgm:cxn modelId="{53F5A330-E453-4158-BB8D-0C23731DD3E3}" type="presParOf" srcId="{914DD733-6688-410F-8BB1-E6D8FD19E4B3}" destId="{170C09A7-D2A4-466A-BDA9-F584C3D8DE1C}" srcOrd="0" destOrd="0" presId="urn:microsoft.com/office/officeart/2005/8/layout/pyramid2"/>
    <dgm:cxn modelId="{DEBC6E54-BB8E-47C1-82E2-26B6883FC747}" type="presParOf" srcId="{914DD733-6688-410F-8BB1-E6D8FD19E4B3}" destId="{8BF39D0D-D6A3-4CB9-ADDC-0EC2E39EB7AB}" srcOrd="1" destOrd="0" presId="urn:microsoft.com/office/officeart/2005/8/layout/pyramid2"/>
    <dgm:cxn modelId="{46C959DA-B8F8-4BD3-9D9B-CAD7289F3C93}" type="presParOf" srcId="{8BF39D0D-D6A3-4CB9-ADDC-0EC2E39EB7AB}" destId="{793F71A1-45ED-45AF-A05C-58E0D699CA5E}" srcOrd="0" destOrd="0" presId="urn:microsoft.com/office/officeart/2005/8/layout/pyramid2"/>
    <dgm:cxn modelId="{AE27717E-A408-4AB3-9383-5D8E3E3AAB9A}" type="presParOf" srcId="{8BF39D0D-D6A3-4CB9-ADDC-0EC2E39EB7AB}" destId="{4E8712E9-87F4-4E01-83E9-A24A6307E571}" srcOrd="1" destOrd="0" presId="urn:microsoft.com/office/officeart/2005/8/layout/pyramid2"/>
    <dgm:cxn modelId="{868A7EA6-4DAE-4480-8D52-8A2636D2E310}" type="presParOf" srcId="{8BF39D0D-D6A3-4CB9-ADDC-0EC2E39EB7AB}" destId="{B4BF4F58-0911-4E85-9FD0-8EDDAADA0D02}" srcOrd="2" destOrd="0" presId="urn:microsoft.com/office/officeart/2005/8/layout/pyramid2"/>
    <dgm:cxn modelId="{E7FC323D-0986-4BC6-B201-115D6DF174D1}" type="presParOf" srcId="{8BF39D0D-D6A3-4CB9-ADDC-0EC2E39EB7AB}" destId="{D0C0AD8B-5B82-4B8F-8990-5D6BC87BD99B}" srcOrd="3" destOrd="0" presId="urn:microsoft.com/office/officeart/2005/8/layout/pyramid2"/>
    <dgm:cxn modelId="{D3FC71EC-3C22-4AD7-9313-004E2DC8635E}" type="presParOf" srcId="{8BF39D0D-D6A3-4CB9-ADDC-0EC2E39EB7AB}" destId="{03699F5F-7DB8-47DB-824A-B3E43F626018}" srcOrd="4" destOrd="0" presId="urn:microsoft.com/office/officeart/2005/8/layout/pyramid2"/>
    <dgm:cxn modelId="{AD7B15F0-4F3A-466C-A133-0C16AD80F8FA}" type="presParOf" srcId="{8BF39D0D-D6A3-4CB9-ADDC-0EC2E39EB7AB}" destId="{2DF012AA-2C06-47A2-A69F-798476FF9084}" srcOrd="5" destOrd="0" presId="urn:microsoft.com/office/officeart/2005/8/layout/pyramid2"/>
    <dgm:cxn modelId="{80A92E66-99DD-4548-AB42-B86D9ACC3434}" type="presParOf" srcId="{8BF39D0D-D6A3-4CB9-ADDC-0EC2E39EB7AB}" destId="{DC0AF893-5E00-4353-B525-AFA18B6B6CD2}" srcOrd="6" destOrd="0" presId="urn:microsoft.com/office/officeart/2005/8/layout/pyramid2"/>
    <dgm:cxn modelId="{02C0FC91-6868-48E5-BD6C-31B1F6E953B3}" type="presParOf" srcId="{8BF39D0D-D6A3-4CB9-ADDC-0EC2E39EB7AB}" destId="{2545277F-7B3E-42FC-B2F6-E1E7EB2E3131}" srcOrd="7" destOrd="0" presId="urn:microsoft.com/office/officeart/2005/8/layout/pyramid2"/>
    <dgm:cxn modelId="{F3CFED08-EC7A-4677-8898-1074E6803737}" type="presParOf" srcId="{8BF39D0D-D6A3-4CB9-ADDC-0EC2E39EB7AB}" destId="{D5A53E97-E115-4CDB-A2F5-3166CED710F7}" srcOrd="8" destOrd="0" presId="urn:microsoft.com/office/officeart/2005/8/layout/pyramid2"/>
    <dgm:cxn modelId="{A3F9769A-C930-45A5-AE88-74A0A1A05914}" type="presParOf" srcId="{8BF39D0D-D6A3-4CB9-ADDC-0EC2E39EB7AB}" destId="{D8C72D81-B3EF-4A04-8329-2C0169A4801B}" srcOrd="9" destOrd="0" presId="urn:microsoft.com/office/officeart/2005/8/layout/pyramid2"/>
    <dgm:cxn modelId="{AAAF979F-3A76-4AF4-A449-7EDC6D62120F}" type="presParOf" srcId="{8BF39D0D-D6A3-4CB9-ADDC-0EC2E39EB7AB}" destId="{CA6DD352-482C-4EAF-AF6D-E776B494DCCD}" srcOrd="10" destOrd="0" presId="urn:microsoft.com/office/officeart/2005/8/layout/pyramid2"/>
    <dgm:cxn modelId="{891D1EE5-10FC-4702-97ED-389F07C4B86A}" type="presParOf" srcId="{8BF39D0D-D6A3-4CB9-ADDC-0EC2E39EB7AB}" destId="{C34EF810-8C71-44C5-97A0-F62C323A06F0}" srcOrd="11" destOrd="0" presId="urn:microsoft.com/office/officeart/2005/8/layout/pyramid2"/>
    <dgm:cxn modelId="{E5B614A2-1861-4FD4-9F53-DF7F65BEA0F0}" type="presParOf" srcId="{8BF39D0D-D6A3-4CB9-ADDC-0EC2E39EB7AB}" destId="{12E18B1E-379F-4F1B-869C-6CBB57A47824}" srcOrd="12" destOrd="0" presId="urn:microsoft.com/office/officeart/2005/8/layout/pyramid2"/>
    <dgm:cxn modelId="{956E78AB-68ED-447B-9C33-B3F365A5F750}" type="presParOf" srcId="{8BF39D0D-D6A3-4CB9-ADDC-0EC2E39EB7AB}" destId="{07951353-12BE-4882-8916-F92D0651C269}" srcOrd="13" destOrd="0" presId="urn:microsoft.com/office/officeart/2005/8/layout/pyramid2"/>
    <dgm:cxn modelId="{6E8FE9FD-93DC-4EB3-B80E-5AF3C41B4E2D}" type="presParOf" srcId="{8BF39D0D-D6A3-4CB9-ADDC-0EC2E39EB7AB}" destId="{A4801434-5477-43E3-8DD3-FDA582B37824}" srcOrd="14" destOrd="0" presId="urn:microsoft.com/office/officeart/2005/8/layout/pyramid2"/>
    <dgm:cxn modelId="{EBBFA75B-81AD-4A84-8EC7-538309F63D20}" type="presParOf" srcId="{8BF39D0D-D6A3-4CB9-ADDC-0EC2E39EB7AB}" destId="{88B591F1-6D4D-4890-976C-65C1C384C7E1}" srcOrd="15" destOrd="0" presId="urn:microsoft.com/office/officeart/2005/8/layout/pyramid2"/>
  </dgm:cxnLst>
  <dgm:bg/>
  <dgm:whole/>
  <dgm:extLst>
    <a:ext uri="http://schemas.microsoft.com/office/drawing/2008/diagram">
      <dsp:dataModelExt xmlns:dsp="http://schemas.microsoft.com/office/drawing/2008/diagram" xmlns="" relId="rId12"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170C09A7-D2A4-466A-BDA9-F584C3D8DE1C}">
      <dsp:nvSpPr>
        <dsp:cNvPr id="0" name=""/>
        <dsp:cNvSpPr/>
      </dsp:nvSpPr>
      <dsp:spPr>
        <a:xfrm>
          <a:off x="163349" y="0"/>
          <a:ext cx="6125408" cy="3568192"/>
        </a:xfrm>
        <a:prstGeom prst="triangl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3F71A1-45ED-45AF-A05C-58E0D699CA5E}">
      <dsp:nvSpPr>
        <dsp:cNvPr id="0" name=""/>
        <dsp:cNvSpPr/>
      </dsp:nvSpPr>
      <dsp:spPr>
        <a:xfrm>
          <a:off x="1277902" y="392040"/>
          <a:ext cx="4193687" cy="299196"/>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Constitution</a:t>
          </a:r>
        </a:p>
      </dsp:txBody>
      <dsp:txXfrm>
        <a:off x="1277902" y="392040"/>
        <a:ext cx="4193687" cy="299196"/>
      </dsp:txXfrm>
    </dsp:sp>
    <dsp:sp modelId="{B4BF4F58-0911-4E85-9FD0-8EDDAADA0D02}">
      <dsp:nvSpPr>
        <dsp:cNvPr id="0" name=""/>
        <dsp:cNvSpPr/>
      </dsp:nvSpPr>
      <dsp:spPr>
        <a:xfrm>
          <a:off x="1290090" y="707038"/>
          <a:ext cx="4152287" cy="334863"/>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Traités internationaux</a:t>
          </a:r>
        </a:p>
      </dsp:txBody>
      <dsp:txXfrm>
        <a:off x="1290090" y="707038"/>
        <a:ext cx="4152287" cy="334863"/>
      </dsp:txXfrm>
    </dsp:sp>
    <dsp:sp modelId="{03699F5F-7DB8-47DB-824A-B3E43F626018}">
      <dsp:nvSpPr>
        <dsp:cNvPr id="0" name=""/>
        <dsp:cNvSpPr/>
      </dsp:nvSpPr>
      <dsp:spPr>
        <a:xfrm>
          <a:off x="1304957" y="1059545"/>
          <a:ext cx="4190509" cy="325112"/>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Droit communautaire</a:t>
          </a:r>
        </a:p>
      </dsp:txBody>
      <dsp:txXfrm>
        <a:off x="1304957" y="1059545"/>
        <a:ext cx="4190509" cy="325112"/>
      </dsp:txXfrm>
    </dsp:sp>
    <dsp:sp modelId="{DC0AF893-5E00-4353-B525-AFA18B6B6CD2}">
      <dsp:nvSpPr>
        <dsp:cNvPr id="0" name=""/>
        <dsp:cNvSpPr/>
      </dsp:nvSpPr>
      <dsp:spPr>
        <a:xfrm>
          <a:off x="1325147" y="1422159"/>
          <a:ext cx="4150130" cy="304456"/>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Lois</a:t>
          </a:r>
        </a:p>
      </dsp:txBody>
      <dsp:txXfrm>
        <a:off x="1325147" y="1422159"/>
        <a:ext cx="4150130" cy="304456"/>
      </dsp:txXfrm>
    </dsp:sp>
    <dsp:sp modelId="{D5A53E97-E115-4CDB-A2F5-3166CED710F7}">
      <dsp:nvSpPr>
        <dsp:cNvPr id="0" name=""/>
        <dsp:cNvSpPr/>
      </dsp:nvSpPr>
      <dsp:spPr>
        <a:xfrm>
          <a:off x="1308157" y="1767426"/>
          <a:ext cx="4150153" cy="338184"/>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Jurisprudence</a:t>
          </a:r>
        </a:p>
      </dsp:txBody>
      <dsp:txXfrm>
        <a:off x="1308157" y="1767426"/>
        <a:ext cx="4150153" cy="338184"/>
      </dsp:txXfrm>
    </dsp:sp>
    <dsp:sp modelId="{CA6DD352-482C-4EAF-AF6D-E776B494DCCD}">
      <dsp:nvSpPr>
        <dsp:cNvPr id="0" name=""/>
        <dsp:cNvSpPr/>
      </dsp:nvSpPr>
      <dsp:spPr>
        <a:xfrm>
          <a:off x="1308157" y="2159661"/>
          <a:ext cx="4150153" cy="332245"/>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Décrets</a:t>
          </a:r>
        </a:p>
      </dsp:txBody>
      <dsp:txXfrm>
        <a:off x="1308157" y="2159661"/>
        <a:ext cx="4150153" cy="332245"/>
      </dsp:txXfrm>
    </dsp:sp>
    <dsp:sp modelId="{12E18B1E-379F-4F1B-869C-6CBB57A47824}">
      <dsp:nvSpPr>
        <dsp:cNvPr id="0" name=""/>
        <dsp:cNvSpPr/>
      </dsp:nvSpPr>
      <dsp:spPr>
        <a:xfrm>
          <a:off x="1308157" y="2545952"/>
          <a:ext cx="4184154" cy="342241"/>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Arrêtés</a:t>
          </a:r>
        </a:p>
      </dsp:txBody>
      <dsp:txXfrm>
        <a:off x="1308157" y="2545952"/>
        <a:ext cx="4184154" cy="342241"/>
      </dsp:txXfrm>
    </dsp:sp>
    <dsp:sp modelId="{A4801434-5477-43E3-8DD3-FDA582B37824}">
      <dsp:nvSpPr>
        <dsp:cNvPr id="0" name=""/>
        <dsp:cNvSpPr/>
      </dsp:nvSpPr>
      <dsp:spPr>
        <a:xfrm>
          <a:off x="1325147" y="2955483"/>
          <a:ext cx="4150130" cy="330631"/>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Conventions collectives</a:t>
          </a:r>
        </a:p>
      </dsp:txBody>
      <dsp:txXfrm>
        <a:off x="1325147" y="2955483"/>
        <a:ext cx="4150130" cy="330631"/>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3E94D5-1938-4406-B1CC-3A58E0E98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846</Words>
  <Characters>4658</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Daunes</dc:creator>
  <cp:lastModifiedBy>Daunes</cp:lastModifiedBy>
  <cp:revision>7</cp:revision>
  <cp:lastPrinted>2020-06-21T12:54:00Z</cp:lastPrinted>
  <dcterms:created xsi:type="dcterms:W3CDTF">2020-07-13T13:06:00Z</dcterms:created>
  <dcterms:modified xsi:type="dcterms:W3CDTF">2020-07-13T14:29:00Z</dcterms:modified>
</cp:coreProperties>
</file>