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F85" w:rsidRDefault="00C302B2">
      <w:pPr>
        <w:spacing w:after="60"/>
      </w:pPr>
      <w:r>
        <w:rPr>
          <w:b/>
          <w:bCs/>
          <w:color w:val="2E5266"/>
          <w:sz w:val="48"/>
          <w:szCs w:val="48"/>
        </w:rPr>
        <w:t>Business Analytics Report</w:t>
      </w:r>
    </w:p>
    <w:p w:rsidR="00223F85" w:rsidRDefault="00C302B2">
      <w:pPr>
        <w:spacing w:after="20"/>
      </w:pPr>
      <w:r>
        <w:rPr>
          <w:color w:val="444444"/>
          <w:sz w:val="26"/>
          <w:szCs w:val="26"/>
        </w:rPr>
        <w:t>Customer Churn Analysis — Telco Customer Churn Dataset</w:t>
      </w:r>
    </w:p>
    <w:p w:rsidR="00223F85" w:rsidRDefault="00C302B2">
      <w:pPr>
        <w:spacing w:after="400"/>
      </w:pPr>
      <w:r>
        <w:rPr>
          <w:i/>
          <w:iCs/>
          <w:color w:val="666666"/>
          <w:sz w:val="22"/>
          <w:szCs w:val="22"/>
        </w:rPr>
        <w:t xml:space="preserve">Prepared for: Data Analytics Internship Programme, </w:t>
      </w:r>
      <w:proofErr w:type="spellStart"/>
      <w:r>
        <w:rPr>
          <w:i/>
          <w:iCs/>
          <w:color w:val="666666"/>
          <w:sz w:val="22"/>
          <w:szCs w:val="22"/>
        </w:rPr>
        <w:t>AnalystLab</w:t>
      </w:r>
      <w:proofErr w:type="spellEnd"/>
      <w:r>
        <w:rPr>
          <w:i/>
          <w:iCs/>
          <w:color w:val="666666"/>
          <w:sz w:val="22"/>
          <w:szCs w:val="22"/>
        </w:rPr>
        <w:t xml:space="preserve"> Africa</w:t>
      </w:r>
    </w:p>
    <w:p w:rsidR="00223F85" w:rsidRDefault="00C302B2">
      <w:pPr>
        <w:pStyle w:val="Heading1"/>
        <w:spacing w:before="320" w:after="150"/>
      </w:pPr>
      <w:r>
        <w:t>Part 1 — Business Understanding</w:t>
      </w:r>
    </w:p>
    <w:p w:rsidR="00223F85" w:rsidRDefault="00C302B2">
      <w:pPr>
        <w:pStyle w:val="Heading2"/>
        <w:spacing w:before="220" w:after="110"/>
      </w:pPr>
      <w:r>
        <w:t>1.1 Background</w:t>
      </w:r>
    </w:p>
    <w:p w:rsidR="00223F85" w:rsidRPr="00DC1430" w:rsidRDefault="00C302B2" w:rsidP="00DC1430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DC1430">
        <w:rPr>
          <w:rFonts w:ascii="Arial" w:hAnsi="Arial" w:cs="Arial"/>
          <w:sz w:val="24"/>
          <w:szCs w:val="24"/>
        </w:rPr>
        <w:t>Customer churn — the rate at which customers stop doing business with a company — is one of the most closely watched metrics in subscription-based industries such as telecommunications, banking, insurance, and streaming media. In competitive, saturated mar</w:t>
      </w:r>
      <w:r w:rsidRPr="00DC1430">
        <w:rPr>
          <w:rFonts w:ascii="Arial" w:hAnsi="Arial" w:cs="Arial"/>
          <w:sz w:val="24"/>
          <w:szCs w:val="24"/>
        </w:rPr>
        <w:t>kets, acquiring a new customer typically costs significantly more than retaining an existing one, which makes churn reduction a direct lever on profitability rather than just a satisfaction metric.</w:t>
      </w:r>
    </w:p>
    <w:p w:rsidR="00223F85" w:rsidRPr="00DC1430" w:rsidRDefault="00C302B2" w:rsidP="00DC1430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DC1430">
        <w:rPr>
          <w:rFonts w:ascii="Arial" w:hAnsi="Arial" w:cs="Arial"/>
          <w:sz w:val="24"/>
          <w:szCs w:val="24"/>
        </w:rPr>
        <w:t>In the telecommunications sector specifically, churn is dr</w:t>
      </w:r>
      <w:r w:rsidRPr="00DC1430">
        <w:rPr>
          <w:rFonts w:ascii="Arial" w:hAnsi="Arial" w:cs="Arial"/>
          <w:sz w:val="24"/>
          <w:szCs w:val="24"/>
        </w:rPr>
        <w:t>iven by a mix of price sensitivity, contract flexibility, service quality (particularly internet reliability), customer support experience, and the availability of competing providers. Because customers can typically switch providers with relatively low fr</w:t>
      </w:r>
      <w:r w:rsidRPr="00DC1430">
        <w:rPr>
          <w:rFonts w:ascii="Arial" w:hAnsi="Arial" w:cs="Arial"/>
          <w:sz w:val="24"/>
          <w:szCs w:val="24"/>
        </w:rPr>
        <w:t>iction (portability of phone numbers, short or month-to-month contracts), telecom companies must proactively identify at-risk customers rather than react after they leave.</w:t>
      </w:r>
    </w:p>
    <w:p w:rsidR="00223F85" w:rsidRDefault="00C302B2">
      <w:pPr>
        <w:pStyle w:val="Heading2"/>
        <w:spacing w:before="220" w:after="110"/>
      </w:pPr>
      <w:r>
        <w:t>1.2 Business Problem</w:t>
      </w:r>
    </w:p>
    <w:p w:rsidR="00223F85" w:rsidRPr="00DC1430" w:rsidRDefault="00C302B2" w:rsidP="00DC1430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DC1430">
        <w:rPr>
          <w:rFonts w:ascii="Arial" w:hAnsi="Arial" w:cs="Arial"/>
          <w:sz w:val="24"/>
          <w:szCs w:val="24"/>
        </w:rPr>
        <w:t>The organisation in this dataset offers phone and internet serv</w:t>
      </w:r>
      <w:r w:rsidRPr="00DC1430">
        <w:rPr>
          <w:rFonts w:ascii="Arial" w:hAnsi="Arial" w:cs="Arial"/>
          <w:sz w:val="24"/>
          <w:szCs w:val="24"/>
        </w:rPr>
        <w:t>ices and wants to understand why 26.5% of its customer base has churned. Without a clear, data-driven understanding of churn drivers, retention spend (discounts, outreach, loyalty offers) is allocated inefficiently — either spread too thinly across the who</w:t>
      </w:r>
      <w:r w:rsidRPr="00DC1430">
        <w:rPr>
          <w:rFonts w:ascii="Arial" w:hAnsi="Arial" w:cs="Arial"/>
          <w:sz w:val="24"/>
          <w:szCs w:val="24"/>
        </w:rPr>
        <w:t>le base or targeted using guesswork rather than evidence.</w:t>
      </w:r>
    </w:p>
    <w:p w:rsidR="00223F85" w:rsidRDefault="00C302B2">
      <w:pPr>
        <w:pStyle w:val="Heading2"/>
        <w:spacing w:before="220" w:after="110"/>
      </w:pPr>
      <w:r>
        <w:t>1.3 Objectives</w:t>
      </w:r>
    </w:p>
    <w:p w:rsidR="00223F85" w:rsidRPr="00DC1430" w:rsidRDefault="00C302B2" w:rsidP="00DC143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DC1430">
        <w:rPr>
          <w:rFonts w:ascii="Arial" w:hAnsi="Arial" w:cs="Arial"/>
          <w:sz w:val="24"/>
          <w:szCs w:val="24"/>
        </w:rPr>
        <w:t>Quantify the overall churn rate and identify which customer segments churn most.</w:t>
      </w:r>
    </w:p>
    <w:p w:rsidR="00223F85" w:rsidRPr="00DC1430" w:rsidRDefault="00C302B2" w:rsidP="00DC143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DC1430">
        <w:rPr>
          <w:rFonts w:ascii="Arial" w:hAnsi="Arial" w:cs="Arial"/>
          <w:sz w:val="24"/>
          <w:szCs w:val="24"/>
        </w:rPr>
        <w:t>Determine which service, contract, and billing attributes are most strongly associated with churn.</w:t>
      </w:r>
    </w:p>
    <w:p w:rsidR="00223F85" w:rsidRPr="00DC1430" w:rsidRDefault="00C302B2" w:rsidP="00DC143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DC1430">
        <w:rPr>
          <w:rFonts w:ascii="Arial" w:hAnsi="Arial" w:cs="Arial"/>
          <w:sz w:val="24"/>
          <w:szCs w:val="24"/>
        </w:rPr>
        <w:t>Tra</w:t>
      </w:r>
      <w:r w:rsidRPr="00DC1430">
        <w:rPr>
          <w:rFonts w:ascii="Arial" w:hAnsi="Arial" w:cs="Arial"/>
          <w:sz w:val="24"/>
          <w:szCs w:val="24"/>
        </w:rPr>
        <w:t>nslate findings into concrete, actionable retention recommendations.</w:t>
      </w:r>
    </w:p>
    <w:p w:rsidR="00223F85" w:rsidRPr="00DC1430" w:rsidRDefault="00C302B2" w:rsidP="00DC1430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DC1430">
        <w:rPr>
          <w:rFonts w:ascii="Arial" w:hAnsi="Arial" w:cs="Arial"/>
          <w:sz w:val="24"/>
          <w:szCs w:val="24"/>
        </w:rPr>
        <w:t>Provide a reusable analytical foundation (dataset inspection, visual analysis) for ongoing churn monitoring.</w:t>
      </w:r>
    </w:p>
    <w:p w:rsidR="007F01D0" w:rsidRDefault="007F01D0">
      <w:pPr>
        <w:pStyle w:val="Heading2"/>
        <w:spacing w:before="220" w:after="110"/>
      </w:pPr>
    </w:p>
    <w:p w:rsidR="00223F85" w:rsidRDefault="00C302B2">
      <w:pPr>
        <w:pStyle w:val="Heading2"/>
        <w:spacing w:before="220" w:after="110"/>
      </w:pPr>
      <w:r>
        <w:lastRenderedPageBreak/>
        <w:t>1.4 Key Business Questions</w:t>
      </w:r>
    </w:p>
    <w:p w:rsidR="007F01D0" w:rsidRPr="007F01D0" w:rsidRDefault="007F01D0">
      <w:pPr>
        <w:pStyle w:val="Heading2"/>
        <w:spacing w:before="220" w:after="110"/>
        <w:rPr>
          <w:rFonts w:ascii="Arial" w:hAnsi="Arial" w:cs="Arial"/>
          <w:color w:val="000000" w:themeColor="text1"/>
          <w:sz w:val="24"/>
          <w:szCs w:val="24"/>
        </w:rPr>
      </w:pPr>
      <w:r w:rsidRPr="007F01D0">
        <w:rPr>
          <w:color w:val="000000" w:themeColor="text1"/>
        </w:rPr>
        <w:t>1</w:t>
      </w:r>
      <w:r w:rsidRPr="007F01D0">
        <w:rPr>
          <w:rFonts w:ascii="Arial" w:hAnsi="Arial" w:cs="Arial"/>
          <w:color w:val="000000" w:themeColor="text1"/>
          <w:sz w:val="24"/>
          <w:szCs w:val="24"/>
        </w:rPr>
        <w:t xml:space="preserve">. What does the customer base look like? </w:t>
      </w:r>
    </w:p>
    <w:p w:rsidR="007F01D0" w:rsidRPr="007F01D0" w:rsidRDefault="007F01D0">
      <w:pPr>
        <w:pStyle w:val="Heading2"/>
        <w:spacing w:before="220" w:after="110"/>
        <w:rPr>
          <w:rFonts w:ascii="Arial" w:hAnsi="Arial" w:cs="Arial"/>
          <w:color w:val="000000" w:themeColor="text1"/>
          <w:sz w:val="24"/>
          <w:szCs w:val="24"/>
        </w:rPr>
      </w:pPr>
      <w:r w:rsidRPr="007F01D0">
        <w:rPr>
          <w:rFonts w:ascii="Arial" w:hAnsi="Arial" w:cs="Arial"/>
          <w:color w:val="000000" w:themeColor="text1"/>
          <w:sz w:val="24"/>
          <w:szCs w:val="24"/>
        </w:rPr>
        <w:t xml:space="preserve">2. Which segments have the highest churn? </w:t>
      </w:r>
    </w:p>
    <w:p w:rsidR="007F01D0" w:rsidRPr="007F01D0" w:rsidRDefault="007F01D0">
      <w:pPr>
        <w:pStyle w:val="Heading2"/>
        <w:spacing w:before="220" w:after="110"/>
        <w:rPr>
          <w:rFonts w:ascii="Arial" w:hAnsi="Arial" w:cs="Arial"/>
          <w:color w:val="000000" w:themeColor="text1"/>
          <w:sz w:val="24"/>
          <w:szCs w:val="24"/>
        </w:rPr>
      </w:pPr>
      <w:r w:rsidRPr="007F01D0">
        <w:rPr>
          <w:rFonts w:ascii="Arial" w:hAnsi="Arial" w:cs="Arial"/>
          <w:color w:val="000000" w:themeColor="text1"/>
          <w:sz w:val="24"/>
          <w:szCs w:val="24"/>
        </w:rPr>
        <w:t xml:space="preserve">3. Does contract type influence retention? </w:t>
      </w:r>
    </w:p>
    <w:p w:rsidR="007F01D0" w:rsidRPr="007F01D0" w:rsidRDefault="007F01D0">
      <w:pPr>
        <w:pStyle w:val="Heading2"/>
        <w:spacing w:before="220" w:after="110"/>
        <w:rPr>
          <w:rFonts w:ascii="Arial" w:hAnsi="Arial" w:cs="Arial"/>
          <w:color w:val="000000" w:themeColor="text1"/>
          <w:sz w:val="24"/>
          <w:szCs w:val="24"/>
        </w:rPr>
      </w:pPr>
      <w:r w:rsidRPr="007F01D0">
        <w:rPr>
          <w:rFonts w:ascii="Arial" w:hAnsi="Arial" w:cs="Arial"/>
          <w:color w:val="000000" w:themeColor="text1"/>
          <w:sz w:val="24"/>
          <w:szCs w:val="24"/>
        </w:rPr>
        <w:t xml:space="preserve">4. Does tenure affect loyalty? </w:t>
      </w:r>
    </w:p>
    <w:p w:rsidR="007F01D0" w:rsidRPr="007F01D0" w:rsidRDefault="007F01D0">
      <w:pPr>
        <w:pStyle w:val="Heading2"/>
        <w:spacing w:before="220" w:after="110"/>
        <w:rPr>
          <w:rFonts w:ascii="Arial" w:hAnsi="Arial" w:cs="Arial"/>
          <w:color w:val="000000" w:themeColor="text1"/>
          <w:sz w:val="24"/>
          <w:szCs w:val="24"/>
        </w:rPr>
      </w:pPr>
      <w:r w:rsidRPr="007F01D0">
        <w:rPr>
          <w:rFonts w:ascii="Arial" w:hAnsi="Arial" w:cs="Arial"/>
          <w:color w:val="000000" w:themeColor="text1"/>
          <w:sz w:val="24"/>
          <w:szCs w:val="24"/>
        </w:rPr>
        <w:t xml:space="preserve">5.Which services influence churn? </w:t>
      </w:r>
    </w:p>
    <w:p w:rsidR="007F01D0" w:rsidRPr="007F01D0" w:rsidRDefault="007F01D0">
      <w:pPr>
        <w:pStyle w:val="Heading2"/>
        <w:spacing w:before="220" w:after="110"/>
        <w:rPr>
          <w:rFonts w:ascii="Arial" w:hAnsi="Arial" w:cs="Arial"/>
          <w:color w:val="000000" w:themeColor="text1"/>
          <w:sz w:val="24"/>
          <w:szCs w:val="24"/>
        </w:rPr>
      </w:pPr>
      <w:r w:rsidRPr="007F01D0">
        <w:rPr>
          <w:rFonts w:ascii="Arial" w:hAnsi="Arial" w:cs="Arial"/>
          <w:color w:val="000000" w:themeColor="text1"/>
          <w:sz w:val="24"/>
          <w:szCs w:val="24"/>
        </w:rPr>
        <w:t>6. Which payment methods have higher churn?</w:t>
      </w:r>
    </w:p>
    <w:p w:rsidR="00223F85" w:rsidRPr="007F01D0" w:rsidRDefault="00C302B2">
      <w:pPr>
        <w:pStyle w:val="Heading2"/>
        <w:spacing w:before="220" w:after="110"/>
        <w:rPr>
          <w:rFonts w:ascii="Arial" w:hAnsi="Arial" w:cs="Arial"/>
        </w:rPr>
      </w:pPr>
      <w:r w:rsidRPr="007F01D0">
        <w:rPr>
          <w:rFonts w:ascii="Arial" w:hAnsi="Arial" w:cs="Arial"/>
        </w:rPr>
        <w:t>1.5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223F85" w:rsidRPr="006849D1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2E5266"/>
          </w:tcPr>
          <w:p w:rsidR="00223F85" w:rsidRPr="006849D1" w:rsidRDefault="00C302B2">
            <w:pPr>
              <w:rPr>
                <w:rFonts w:ascii="Arial" w:hAnsi="Arial" w:cs="Arial"/>
                <w:sz w:val="24"/>
                <w:szCs w:val="24"/>
              </w:rPr>
            </w:pPr>
            <w:r w:rsidRPr="006849D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5760" w:type="dxa"/>
            <w:shd w:val="clear" w:color="auto" w:fill="2E5266"/>
          </w:tcPr>
          <w:p w:rsidR="00223F85" w:rsidRPr="006849D1" w:rsidRDefault="00C302B2">
            <w:pPr>
              <w:rPr>
                <w:rFonts w:ascii="Arial" w:hAnsi="Arial" w:cs="Arial"/>
                <w:sz w:val="24"/>
                <w:szCs w:val="24"/>
              </w:rPr>
            </w:pPr>
            <w:r w:rsidRPr="006849D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Int</w:t>
            </w:r>
            <w:r w:rsidRPr="006849D1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erest</w:t>
            </w:r>
          </w:p>
        </w:tc>
      </w:tr>
      <w:tr w:rsidR="00223F85" w:rsidRPr="006849D1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</w:tcPr>
          <w:p w:rsidR="00223F85" w:rsidRPr="006849D1" w:rsidRDefault="00C302B2">
            <w:pPr>
              <w:rPr>
                <w:rFonts w:ascii="Arial" w:hAnsi="Arial" w:cs="Arial"/>
                <w:sz w:val="24"/>
                <w:szCs w:val="24"/>
              </w:rPr>
            </w:pPr>
            <w:r w:rsidRPr="006849D1">
              <w:rPr>
                <w:rFonts w:ascii="Arial" w:hAnsi="Arial" w:cs="Arial"/>
                <w:sz w:val="24"/>
                <w:szCs w:val="24"/>
              </w:rPr>
              <w:t>Customer Retention / CX team</w:t>
            </w:r>
          </w:p>
        </w:tc>
        <w:tc>
          <w:tcPr>
            <w:tcW w:w="5760" w:type="dxa"/>
            <w:shd w:val="clear" w:color="auto" w:fill="FFFFFF"/>
          </w:tcPr>
          <w:p w:rsidR="00223F85" w:rsidRPr="006849D1" w:rsidRDefault="00C302B2">
            <w:pPr>
              <w:rPr>
                <w:rFonts w:ascii="Arial" w:hAnsi="Arial" w:cs="Arial"/>
                <w:sz w:val="24"/>
                <w:szCs w:val="24"/>
              </w:rPr>
            </w:pPr>
            <w:r w:rsidRPr="006849D1">
              <w:rPr>
                <w:rFonts w:ascii="Arial" w:hAnsi="Arial" w:cs="Arial"/>
                <w:sz w:val="24"/>
                <w:szCs w:val="24"/>
              </w:rPr>
              <w:t>Design targeted interventions for at-risk segments</w:t>
            </w:r>
          </w:p>
        </w:tc>
      </w:tr>
      <w:tr w:rsidR="00223F85" w:rsidRPr="006849D1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FF3F5"/>
          </w:tcPr>
          <w:p w:rsidR="00223F85" w:rsidRPr="006849D1" w:rsidRDefault="00C302B2">
            <w:pPr>
              <w:rPr>
                <w:rFonts w:ascii="Arial" w:hAnsi="Arial" w:cs="Arial"/>
                <w:sz w:val="24"/>
                <w:szCs w:val="24"/>
              </w:rPr>
            </w:pPr>
            <w:r w:rsidRPr="006849D1">
              <w:rPr>
                <w:rFonts w:ascii="Arial" w:hAnsi="Arial" w:cs="Arial"/>
                <w:sz w:val="24"/>
                <w:szCs w:val="24"/>
              </w:rPr>
              <w:t>Marketing &amp; Pricing</w:t>
            </w:r>
          </w:p>
        </w:tc>
        <w:tc>
          <w:tcPr>
            <w:tcW w:w="5760" w:type="dxa"/>
            <w:shd w:val="clear" w:color="auto" w:fill="EFF3F5"/>
          </w:tcPr>
          <w:p w:rsidR="00223F85" w:rsidRPr="006849D1" w:rsidRDefault="00C302B2">
            <w:pPr>
              <w:rPr>
                <w:rFonts w:ascii="Arial" w:hAnsi="Arial" w:cs="Arial"/>
                <w:sz w:val="24"/>
                <w:szCs w:val="24"/>
              </w:rPr>
            </w:pPr>
            <w:r w:rsidRPr="006849D1">
              <w:rPr>
                <w:rFonts w:ascii="Arial" w:hAnsi="Arial" w:cs="Arial"/>
                <w:sz w:val="24"/>
                <w:szCs w:val="24"/>
              </w:rPr>
              <w:t>Adjust contract incentives and pricing bundles</w:t>
            </w:r>
          </w:p>
        </w:tc>
      </w:tr>
      <w:tr w:rsidR="00223F85" w:rsidRPr="006849D1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</w:tcPr>
          <w:p w:rsidR="00223F85" w:rsidRPr="006849D1" w:rsidRDefault="00C302B2">
            <w:pPr>
              <w:rPr>
                <w:rFonts w:ascii="Arial" w:hAnsi="Arial" w:cs="Arial"/>
                <w:sz w:val="24"/>
                <w:szCs w:val="24"/>
              </w:rPr>
            </w:pPr>
            <w:r w:rsidRPr="006849D1">
              <w:rPr>
                <w:rFonts w:ascii="Arial" w:hAnsi="Arial" w:cs="Arial"/>
                <w:sz w:val="24"/>
                <w:szCs w:val="24"/>
              </w:rPr>
              <w:t>Network / Product team</w:t>
            </w:r>
          </w:p>
        </w:tc>
        <w:tc>
          <w:tcPr>
            <w:tcW w:w="5760" w:type="dxa"/>
            <w:shd w:val="clear" w:color="auto" w:fill="FFFFFF"/>
          </w:tcPr>
          <w:p w:rsidR="00223F85" w:rsidRPr="006849D1" w:rsidRDefault="00C302B2">
            <w:pPr>
              <w:rPr>
                <w:rFonts w:ascii="Arial" w:hAnsi="Arial" w:cs="Arial"/>
                <w:sz w:val="24"/>
                <w:szCs w:val="24"/>
              </w:rPr>
            </w:pPr>
            <w:r w:rsidRPr="006849D1">
              <w:rPr>
                <w:rFonts w:ascii="Arial" w:hAnsi="Arial" w:cs="Arial"/>
                <w:sz w:val="24"/>
                <w:szCs w:val="24"/>
              </w:rPr>
              <w:t>Investigate service-quality issues (e.g., fibre optic complaints)</w:t>
            </w:r>
          </w:p>
        </w:tc>
      </w:tr>
      <w:tr w:rsidR="00223F85" w:rsidRPr="006849D1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FF3F5"/>
          </w:tcPr>
          <w:p w:rsidR="00223F85" w:rsidRPr="006849D1" w:rsidRDefault="00C302B2">
            <w:pPr>
              <w:rPr>
                <w:rFonts w:ascii="Arial" w:hAnsi="Arial" w:cs="Arial"/>
                <w:sz w:val="24"/>
                <w:szCs w:val="24"/>
              </w:rPr>
            </w:pPr>
            <w:r w:rsidRPr="006849D1">
              <w:rPr>
                <w:rFonts w:ascii="Arial" w:hAnsi="Arial" w:cs="Arial"/>
                <w:sz w:val="24"/>
                <w:szCs w:val="24"/>
              </w:rPr>
              <w:t>Finance / Leadership</w:t>
            </w:r>
          </w:p>
        </w:tc>
        <w:tc>
          <w:tcPr>
            <w:tcW w:w="5760" w:type="dxa"/>
            <w:shd w:val="clear" w:color="auto" w:fill="EFF3F5"/>
          </w:tcPr>
          <w:p w:rsidR="00223F85" w:rsidRPr="006849D1" w:rsidRDefault="00C302B2">
            <w:pPr>
              <w:rPr>
                <w:rFonts w:ascii="Arial" w:hAnsi="Arial" w:cs="Arial"/>
                <w:sz w:val="24"/>
                <w:szCs w:val="24"/>
              </w:rPr>
            </w:pPr>
            <w:r w:rsidRPr="006849D1">
              <w:rPr>
                <w:rFonts w:ascii="Arial" w:hAnsi="Arial" w:cs="Arial"/>
                <w:sz w:val="24"/>
                <w:szCs w:val="24"/>
              </w:rPr>
              <w:t>Understand revenue-at-risk and prioritise retention budget</w:t>
            </w:r>
          </w:p>
        </w:tc>
      </w:tr>
    </w:tbl>
    <w:p w:rsidR="00223F85" w:rsidRPr="007F01D0" w:rsidRDefault="00C302B2">
      <w:pPr>
        <w:pStyle w:val="Heading2"/>
        <w:spacing w:before="220" w:after="110"/>
        <w:rPr>
          <w:rFonts w:ascii="Arial" w:hAnsi="Arial" w:cs="Arial"/>
        </w:rPr>
      </w:pPr>
      <w:r w:rsidRPr="007F01D0">
        <w:rPr>
          <w:rFonts w:ascii="Arial" w:hAnsi="Arial" w:cs="Arial"/>
        </w:rPr>
        <w:t>1.6 Success Criteria</w:t>
      </w:r>
    </w:p>
    <w:p w:rsidR="00223F85" w:rsidRPr="006849D1" w:rsidRDefault="00C302B2" w:rsidP="006849D1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sz w:val="24"/>
          <w:szCs w:val="24"/>
        </w:rPr>
        <w:t>This analysis is considered successful if it produces (a) a clear quantification of churn and its main drivers, (b) visual evidence that a non-technical stakeholder can interpret without statistical training, and (c) at least five specific, actionable reco</w:t>
      </w:r>
      <w:r w:rsidRPr="006849D1">
        <w:rPr>
          <w:rFonts w:ascii="Arial" w:hAnsi="Arial" w:cs="Arial"/>
          <w:sz w:val="24"/>
          <w:szCs w:val="24"/>
        </w:rPr>
        <w:t>mmendations the business can implement within one to two quarters.</w:t>
      </w:r>
    </w:p>
    <w:p w:rsidR="00223F85" w:rsidRDefault="00C302B2">
      <w:r>
        <w:br w:type="page"/>
      </w:r>
    </w:p>
    <w:p w:rsidR="00223F85" w:rsidRDefault="00C302B2">
      <w:pPr>
        <w:pStyle w:val="Heading1"/>
        <w:spacing w:before="320" w:after="150"/>
      </w:pPr>
      <w:r>
        <w:lastRenderedPageBreak/>
        <w:t>Part 3 — Business Data Analysis</w:t>
      </w:r>
    </w:p>
    <w:p w:rsidR="00223F85" w:rsidRPr="006849D1" w:rsidRDefault="00C302B2" w:rsidP="006849D1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sz w:val="24"/>
          <w:szCs w:val="24"/>
        </w:rPr>
        <w:t>Nine visualisations were produced to explore churn from multiple angles: bar charts for categorical churn drivers, pie charts for composition, histograms f</w:t>
      </w:r>
      <w:r w:rsidRPr="006849D1">
        <w:rPr>
          <w:rFonts w:ascii="Arial" w:hAnsi="Arial" w:cs="Arial"/>
          <w:sz w:val="24"/>
          <w:szCs w:val="24"/>
        </w:rPr>
        <w:t xml:space="preserve">or numeric distributions, a box plot comparing spend by churn status, and a correlation </w:t>
      </w:r>
      <w:proofErr w:type="spellStart"/>
      <w:r w:rsidRPr="006849D1">
        <w:rPr>
          <w:rFonts w:ascii="Arial" w:hAnsi="Arial" w:cs="Arial"/>
          <w:sz w:val="24"/>
          <w:szCs w:val="24"/>
        </w:rPr>
        <w:t>heatmap</w:t>
      </w:r>
      <w:proofErr w:type="spellEnd"/>
      <w:r w:rsidRPr="006849D1">
        <w:rPr>
          <w:rFonts w:ascii="Arial" w:hAnsi="Arial" w:cs="Arial"/>
          <w:sz w:val="24"/>
          <w:szCs w:val="24"/>
        </w:rPr>
        <w:t xml:space="preserve"> of numeric fields.</w:t>
      </w:r>
    </w:p>
    <w:p w:rsidR="00223F85" w:rsidRDefault="00C302B2">
      <w:pPr>
        <w:pStyle w:val="Heading2"/>
        <w:spacing w:before="220" w:after="110"/>
      </w:pPr>
      <w:r>
        <w:t>3.1 Bar Chart — Churn Rate by Contract Type</w:t>
      </w:r>
    </w:p>
    <w:p w:rsidR="00223F85" w:rsidRDefault="00C302B2">
      <w:pPr>
        <w:spacing w:after="100"/>
      </w:pPr>
      <w:r>
        <w:rPr>
          <w:noProof/>
        </w:rPr>
        <w:drawing>
          <wp:inline distT="0" distB="0" distL="0" distR="0">
            <wp:extent cx="5334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F85" w:rsidRPr="00AA00C9" w:rsidRDefault="00C302B2">
      <w:pPr>
        <w:spacing w:after="260"/>
        <w:rPr>
          <w:rFonts w:ascii="Arial" w:hAnsi="Arial" w:cs="Arial"/>
          <w:sz w:val="24"/>
          <w:szCs w:val="24"/>
        </w:rPr>
      </w:pPr>
      <w:r w:rsidRPr="00AA00C9">
        <w:rPr>
          <w:rFonts w:ascii="Arial" w:hAnsi="Arial" w:cs="Arial"/>
          <w:i/>
          <w:iCs/>
          <w:color w:val="555555"/>
          <w:sz w:val="24"/>
          <w:szCs w:val="24"/>
        </w:rPr>
        <w:t>Figure 1: Churn rate (%) by contract type.</w:t>
      </w:r>
    </w:p>
    <w:p w:rsidR="00223F85" w:rsidRPr="006849D1" w:rsidRDefault="00C302B2" w:rsidP="006849D1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sz w:val="24"/>
          <w:szCs w:val="24"/>
        </w:rPr>
        <w:t>Month-to-month customers churn at 42.71%, more than 3.5x the rate of one-year contracts (11.27%) and roughly 15x the rate of two-year contracts (2.83%). Contract length is the single strongest churn signal in the dataset — customers with no long-term commi</w:t>
      </w:r>
      <w:r w:rsidRPr="006849D1">
        <w:rPr>
          <w:rFonts w:ascii="Arial" w:hAnsi="Arial" w:cs="Arial"/>
          <w:sz w:val="24"/>
          <w:szCs w:val="24"/>
        </w:rPr>
        <w:t>tment churn overwhelmingly more often.</w:t>
      </w:r>
    </w:p>
    <w:p w:rsidR="006849D1" w:rsidRDefault="006849D1">
      <w:pPr>
        <w:pStyle w:val="Heading2"/>
        <w:spacing w:before="220" w:after="110"/>
      </w:pPr>
    </w:p>
    <w:p w:rsidR="006849D1" w:rsidRDefault="006849D1">
      <w:pPr>
        <w:pStyle w:val="Heading2"/>
        <w:spacing w:before="220" w:after="110"/>
      </w:pPr>
    </w:p>
    <w:p w:rsidR="006849D1" w:rsidRDefault="006849D1">
      <w:pPr>
        <w:pStyle w:val="Heading2"/>
        <w:spacing w:before="220" w:after="110"/>
      </w:pPr>
    </w:p>
    <w:p w:rsidR="006849D1" w:rsidRDefault="006849D1">
      <w:pPr>
        <w:pStyle w:val="Heading2"/>
        <w:spacing w:before="220" w:after="110"/>
      </w:pPr>
    </w:p>
    <w:p w:rsidR="006849D1" w:rsidRDefault="006849D1">
      <w:pPr>
        <w:pStyle w:val="Heading2"/>
        <w:spacing w:before="220" w:after="110"/>
      </w:pPr>
    </w:p>
    <w:p w:rsidR="00223F85" w:rsidRDefault="00C302B2">
      <w:pPr>
        <w:pStyle w:val="Heading2"/>
        <w:spacing w:before="220" w:after="110"/>
      </w:pPr>
      <w:r>
        <w:lastRenderedPageBreak/>
        <w:t>3.2 Bar Chart — Churn Rate by Internet Service</w:t>
      </w:r>
    </w:p>
    <w:p w:rsidR="00223F85" w:rsidRDefault="00C302B2">
      <w:pPr>
        <w:spacing w:after="100"/>
      </w:pPr>
      <w:r>
        <w:rPr>
          <w:noProof/>
        </w:rPr>
        <w:drawing>
          <wp:inline distT="0" distB="0" distL="0" distR="0">
            <wp:extent cx="533400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F85" w:rsidRDefault="00C302B2">
      <w:pPr>
        <w:spacing w:after="260"/>
      </w:pPr>
      <w:r>
        <w:rPr>
          <w:i/>
          <w:iCs/>
          <w:color w:val="555555"/>
        </w:rPr>
        <w:t>Figure 2: Churn rate (%) by internet service type.</w:t>
      </w:r>
    </w:p>
    <w:p w:rsidR="00223F85" w:rsidRPr="006849D1" w:rsidRDefault="00C302B2" w:rsidP="006849D1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sz w:val="24"/>
          <w:szCs w:val="24"/>
        </w:rPr>
        <w:t>Fibre-optic customers churn at 41.89%, more than double the DSL rate (18.96%) and nearly 6x the rate of customers wit</w:t>
      </w:r>
      <w:r w:rsidRPr="006849D1">
        <w:rPr>
          <w:rFonts w:ascii="Arial" w:hAnsi="Arial" w:cs="Arial"/>
          <w:sz w:val="24"/>
          <w:szCs w:val="24"/>
        </w:rPr>
        <w:t>h no internet service (7.4%). Despite being a premium, higher-bandwidth product, fibre optic is the company's leakiest service line — pointing to possible price, reliability, or competitive pressure issues specific to that product.</w:t>
      </w: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223F85" w:rsidRPr="00AA00C9" w:rsidRDefault="00C302B2">
      <w:pPr>
        <w:pStyle w:val="Heading2"/>
        <w:spacing w:before="220" w:after="110"/>
        <w:rPr>
          <w:rFonts w:ascii="Arial" w:hAnsi="Arial" w:cs="Arial"/>
        </w:rPr>
      </w:pPr>
      <w:r w:rsidRPr="00AA00C9">
        <w:rPr>
          <w:rFonts w:ascii="Arial" w:hAnsi="Arial" w:cs="Arial"/>
        </w:rPr>
        <w:lastRenderedPageBreak/>
        <w:t>3.3 Bar Chart — Churn Ra</w:t>
      </w:r>
      <w:r w:rsidRPr="00AA00C9">
        <w:rPr>
          <w:rFonts w:ascii="Arial" w:hAnsi="Arial" w:cs="Arial"/>
        </w:rPr>
        <w:t>te by Payment Method</w:t>
      </w:r>
    </w:p>
    <w:p w:rsidR="00223F85" w:rsidRDefault="00C302B2">
      <w:pPr>
        <w:spacing w:after="100"/>
      </w:pPr>
      <w:r>
        <w:rPr>
          <w:noProof/>
        </w:rPr>
        <w:drawing>
          <wp:inline distT="0" distB="0" distL="0" distR="0">
            <wp:extent cx="5334000" cy="38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F85" w:rsidRDefault="00C302B2">
      <w:pPr>
        <w:spacing w:after="260"/>
      </w:pPr>
      <w:r>
        <w:rPr>
          <w:i/>
          <w:iCs/>
          <w:color w:val="555555"/>
        </w:rPr>
        <w:t>Figure 3: Churn rate (%) by payment method.</w:t>
      </w:r>
    </w:p>
    <w:p w:rsidR="00223F85" w:rsidRPr="006849D1" w:rsidRDefault="00C302B2" w:rsidP="006849D1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sz w:val="24"/>
          <w:szCs w:val="24"/>
        </w:rPr>
        <w:t>Electronic check users churn at 45.29%, nearly triple the rate of customers on automatic bank transfer (16.71%) or automatic credit card payment (15.24%). Manual, non-automated payment meth</w:t>
      </w:r>
      <w:r w:rsidRPr="006849D1">
        <w:rPr>
          <w:rFonts w:ascii="Arial" w:hAnsi="Arial" w:cs="Arial"/>
          <w:sz w:val="24"/>
          <w:szCs w:val="24"/>
        </w:rPr>
        <w:t>ods correlate strongly with higher churn, likely reflecting a segment of less-committed or more price-conscious customers.</w:t>
      </w: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223F85" w:rsidRPr="00AA00C9" w:rsidRDefault="00C302B2">
      <w:pPr>
        <w:pStyle w:val="Heading2"/>
        <w:spacing w:before="220" w:after="110"/>
        <w:rPr>
          <w:rFonts w:ascii="Arial" w:hAnsi="Arial" w:cs="Arial"/>
        </w:rPr>
      </w:pPr>
      <w:r w:rsidRPr="00AA00C9">
        <w:rPr>
          <w:rFonts w:ascii="Arial" w:hAnsi="Arial" w:cs="Arial"/>
        </w:rPr>
        <w:lastRenderedPageBreak/>
        <w:t>3.4 Bar Chart — Churn Rate by Senior Citizen Status</w:t>
      </w:r>
    </w:p>
    <w:p w:rsidR="00223F85" w:rsidRDefault="00C302B2">
      <w:pPr>
        <w:spacing w:after="100"/>
      </w:pPr>
      <w:r>
        <w:rPr>
          <w:noProof/>
        </w:rPr>
        <w:drawing>
          <wp:inline distT="0" distB="0" distL="0" distR="0">
            <wp:extent cx="5334000" cy="381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F85" w:rsidRPr="006849D1" w:rsidRDefault="00C302B2">
      <w:pPr>
        <w:spacing w:after="260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i/>
          <w:iCs/>
          <w:color w:val="555555"/>
          <w:sz w:val="24"/>
          <w:szCs w:val="24"/>
        </w:rPr>
        <w:t>Figure 4: Churn rate (%) by senior citizen status.</w:t>
      </w:r>
    </w:p>
    <w:p w:rsidR="00223F85" w:rsidRPr="006849D1" w:rsidRDefault="00C302B2" w:rsidP="00D80B27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sz w:val="24"/>
          <w:szCs w:val="24"/>
        </w:rPr>
        <w:t>Senior citizens churn at 41.</w:t>
      </w:r>
      <w:r w:rsidRPr="006849D1">
        <w:rPr>
          <w:rFonts w:ascii="Arial" w:hAnsi="Arial" w:cs="Arial"/>
          <w:sz w:val="24"/>
          <w:szCs w:val="24"/>
        </w:rPr>
        <w:t>68%, compared to 23.61% for non-seniors — nearly double the rate. Although seniors are a minority of the customer base, they represent a disproportionately at-risk segment worth targeted outreach.</w:t>
      </w: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223F85" w:rsidRPr="00AA00C9" w:rsidRDefault="00C302B2">
      <w:pPr>
        <w:pStyle w:val="Heading2"/>
        <w:spacing w:before="220" w:after="110"/>
        <w:rPr>
          <w:rFonts w:ascii="Arial" w:hAnsi="Arial" w:cs="Arial"/>
        </w:rPr>
      </w:pPr>
      <w:r w:rsidRPr="00AA00C9">
        <w:rPr>
          <w:rFonts w:ascii="Arial" w:hAnsi="Arial" w:cs="Arial"/>
        </w:rPr>
        <w:lastRenderedPageBreak/>
        <w:t>3.5 Pie Chart — Overall Churn Distribution</w:t>
      </w:r>
    </w:p>
    <w:p w:rsidR="00223F85" w:rsidRDefault="00C302B2">
      <w:pPr>
        <w:spacing w:after="100"/>
      </w:pPr>
      <w:r>
        <w:rPr>
          <w:noProof/>
        </w:rPr>
        <w:drawing>
          <wp:inline distT="0" distB="0" distL="0" distR="0">
            <wp:extent cx="3619500" cy="3619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F85" w:rsidRPr="006849D1" w:rsidRDefault="00C302B2" w:rsidP="006849D1">
      <w:pPr>
        <w:spacing w:after="2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i/>
          <w:iCs/>
          <w:color w:val="555555"/>
          <w:sz w:val="24"/>
          <w:szCs w:val="24"/>
        </w:rPr>
        <w:t>Figure 5: Prop</w:t>
      </w:r>
      <w:r w:rsidRPr="006849D1">
        <w:rPr>
          <w:rFonts w:ascii="Arial" w:hAnsi="Arial" w:cs="Arial"/>
          <w:i/>
          <w:iCs/>
          <w:color w:val="555555"/>
          <w:sz w:val="24"/>
          <w:szCs w:val="24"/>
        </w:rPr>
        <w:t>ortion of customers who churned vs. retained.</w:t>
      </w:r>
    </w:p>
    <w:p w:rsidR="00223F85" w:rsidRPr="006849D1" w:rsidRDefault="00C302B2" w:rsidP="006849D1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sz w:val="24"/>
          <w:szCs w:val="24"/>
        </w:rPr>
        <w:t>Of 7043 customers, 1869 (26.54%) churned and 5174 were retained. A churn rate above one in four customers is high for a subscription business and represents a material, recurring revenue loss if left unaddresse</w:t>
      </w:r>
      <w:r w:rsidRPr="006849D1">
        <w:rPr>
          <w:rFonts w:ascii="Arial" w:hAnsi="Arial" w:cs="Arial"/>
          <w:sz w:val="24"/>
          <w:szCs w:val="24"/>
        </w:rPr>
        <w:t>d.</w:t>
      </w: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223F85" w:rsidRPr="00AA00C9" w:rsidRDefault="00C302B2">
      <w:pPr>
        <w:pStyle w:val="Heading2"/>
        <w:spacing w:before="220" w:after="110"/>
        <w:rPr>
          <w:rFonts w:ascii="Arial" w:hAnsi="Arial" w:cs="Arial"/>
        </w:rPr>
      </w:pPr>
      <w:r w:rsidRPr="00AA00C9">
        <w:rPr>
          <w:rFonts w:ascii="Arial" w:hAnsi="Arial" w:cs="Arial"/>
        </w:rPr>
        <w:lastRenderedPageBreak/>
        <w:t xml:space="preserve">3.6 Pie Chart — Contract </w:t>
      </w:r>
      <w:r w:rsidRPr="00AA00C9">
        <w:rPr>
          <w:rFonts w:ascii="Arial" w:hAnsi="Arial" w:cs="Arial"/>
        </w:rPr>
        <w:t>Type Distribution</w:t>
      </w:r>
    </w:p>
    <w:p w:rsidR="00223F85" w:rsidRDefault="00C302B2">
      <w:pPr>
        <w:spacing w:after="100"/>
      </w:pPr>
      <w:r>
        <w:rPr>
          <w:noProof/>
        </w:rPr>
        <w:drawing>
          <wp:inline distT="0" distB="0" distL="0" distR="0" wp14:anchorId="31BD577C" wp14:editId="47D20D2F">
            <wp:extent cx="3619500" cy="361950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F85" w:rsidRPr="006849D1" w:rsidRDefault="00C302B2" w:rsidP="006849D1">
      <w:pPr>
        <w:spacing w:after="2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i/>
          <w:iCs/>
          <w:color w:val="555555"/>
          <w:sz w:val="24"/>
          <w:szCs w:val="24"/>
        </w:rPr>
        <w:t>Figure 6: Composition of the customer base by contract type.</w:t>
      </w:r>
    </w:p>
    <w:p w:rsidR="00223F85" w:rsidRPr="006849D1" w:rsidRDefault="00C302B2" w:rsidP="006849D1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sz w:val="24"/>
          <w:szCs w:val="24"/>
        </w:rPr>
        <w:t>55.0% of all customers are on month-to-month contracts — the exact segment identified in Figure 1 as having the highest churn rate. This means the majority of the customer base sits in the highest-risk contract category, amplifying the business impact of c</w:t>
      </w:r>
      <w:r w:rsidRPr="006849D1">
        <w:rPr>
          <w:rFonts w:ascii="Arial" w:hAnsi="Arial" w:cs="Arial"/>
          <w:sz w:val="24"/>
          <w:szCs w:val="24"/>
        </w:rPr>
        <w:t>ontract-driven churn.</w:t>
      </w: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223F85" w:rsidRPr="00AA00C9" w:rsidRDefault="00C302B2">
      <w:pPr>
        <w:pStyle w:val="Heading2"/>
        <w:spacing w:before="220" w:after="110"/>
        <w:rPr>
          <w:rFonts w:ascii="Arial" w:hAnsi="Arial" w:cs="Arial"/>
        </w:rPr>
      </w:pPr>
      <w:r w:rsidRPr="00AA00C9">
        <w:rPr>
          <w:rFonts w:ascii="Arial" w:hAnsi="Arial" w:cs="Arial"/>
        </w:rPr>
        <w:lastRenderedPageBreak/>
        <w:t>3.7 Histogram — Tenure Distribution</w:t>
      </w:r>
    </w:p>
    <w:p w:rsidR="00223F85" w:rsidRDefault="00C302B2">
      <w:pPr>
        <w:spacing w:after="100"/>
      </w:pPr>
      <w:r>
        <w:rPr>
          <w:noProof/>
        </w:rPr>
        <w:drawing>
          <wp:inline distT="0" distB="0" distL="0" distR="0">
            <wp:extent cx="5334000" cy="381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F85" w:rsidRPr="006849D1" w:rsidRDefault="00C302B2" w:rsidP="006849D1">
      <w:pPr>
        <w:spacing w:after="2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i/>
          <w:iCs/>
          <w:color w:val="555555"/>
          <w:sz w:val="24"/>
          <w:szCs w:val="24"/>
        </w:rPr>
        <w:t>Figure 7: Distribution of customer tenure (months).</w:t>
      </w:r>
    </w:p>
    <w:p w:rsidR="00223F85" w:rsidRPr="006849D1" w:rsidRDefault="00C302B2" w:rsidP="006849D1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sz w:val="24"/>
          <w:szCs w:val="24"/>
        </w:rPr>
        <w:t>Tenure is bimodal: a large spike of customers in their first few months, a broad middle, and a second spike near 72 months (the maximum observed</w:t>
      </w:r>
      <w:r w:rsidRPr="006849D1">
        <w:rPr>
          <w:rFonts w:ascii="Arial" w:hAnsi="Arial" w:cs="Arial"/>
          <w:sz w:val="24"/>
          <w:szCs w:val="24"/>
        </w:rPr>
        <w:t>). This suggests two distinct populations — customers who churn early (often within the first year) and a loyal core that stays for the long term, with fewer customers in between.</w:t>
      </w: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223F85" w:rsidRPr="00AA00C9" w:rsidRDefault="00C302B2">
      <w:pPr>
        <w:pStyle w:val="Heading2"/>
        <w:spacing w:before="220" w:after="110"/>
        <w:rPr>
          <w:rFonts w:ascii="Arial" w:hAnsi="Arial" w:cs="Arial"/>
        </w:rPr>
      </w:pPr>
      <w:r w:rsidRPr="00AA00C9">
        <w:rPr>
          <w:rFonts w:ascii="Arial" w:hAnsi="Arial" w:cs="Arial"/>
        </w:rPr>
        <w:lastRenderedPageBreak/>
        <w:t>3.8 Histogram — Monthly Charges Distribution</w:t>
      </w:r>
    </w:p>
    <w:p w:rsidR="00223F85" w:rsidRDefault="00C302B2">
      <w:pPr>
        <w:spacing w:after="100"/>
      </w:pPr>
      <w:r>
        <w:rPr>
          <w:noProof/>
        </w:rPr>
        <w:drawing>
          <wp:inline distT="0" distB="0" distL="0" distR="0">
            <wp:extent cx="5334000" cy="381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F85" w:rsidRPr="006849D1" w:rsidRDefault="00C302B2" w:rsidP="006849D1">
      <w:pPr>
        <w:spacing w:after="2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i/>
          <w:iCs/>
          <w:color w:val="555555"/>
          <w:sz w:val="24"/>
          <w:szCs w:val="24"/>
        </w:rPr>
        <w:t>Figure 8: Distribution of mon</w:t>
      </w:r>
      <w:r w:rsidRPr="006849D1">
        <w:rPr>
          <w:rFonts w:ascii="Arial" w:hAnsi="Arial" w:cs="Arial"/>
          <w:i/>
          <w:iCs/>
          <w:color w:val="555555"/>
          <w:sz w:val="24"/>
          <w:szCs w:val="24"/>
        </w:rPr>
        <w:t>thly charges ($).</w:t>
      </w:r>
    </w:p>
    <w:p w:rsidR="00223F85" w:rsidRPr="006849D1" w:rsidRDefault="00C302B2" w:rsidP="006849D1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sz w:val="24"/>
          <w:szCs w:val="24"/>
        </w:rPr>
        <w:t>Monthly charges show two clusters: a large group paying $20–$30 (customers likely without internet, phone-only), and a broad group paying $65–$100 (bundled internet/fibre customers). This bimodal pattern reflects distinct product tiers ra</w:t>
      </w:r>
      <w:r w:rsidRPr="006849D1">
        <w:rPr>
          <w:rFonts w:ascii="Arial" w:hAnsi="Arial" w:cs="Arial"/>
          <w:sz w:val="24"/>
          <w:szCs w:val="24"/>
        </w:rPr>
        <w:t>ther than a smooth pricing curve.</w:t>
      </w: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D80B27" w:rsidRDefault="00D80B27">
      <w:pPr>
        <w:pStyle w:val="Heading2"/>
        <w:spacing w:before="220" w:after="110"/>
        <w:rPr>
          <w:rFonts w:ascii="Arial" w:hAnsi="Arial" w:cs="Arial"/>
        </w:rPr>
      </w:pPr>
    </w:p>
    <w:p w:rsidR="00223F85" w:rsidRPr="00AA00C9" w:rsidRDefault="00C302B2">
      <w:pPr>
        <w:pStyle w:val="Heading2"/>
        <w:spacing w:before="220" w:after="110"/>
        <w:rPr>
          <w:rFonts w:ascii="Arial" w:hAnsi="Arial" w:cs="Arial"/>
        </w:rPr>
      </w:pPr>
      <w:r w:rsidRPr="00AA00C9">
        <w:rPr>
          <w:rFonts w:ascii="Arial" w:hAnsi="Arial" w:cs="Arial"/>
        </w:rPr>
        <w:lastRenderedPageBreak/>
        <w:t>3.9 Box Plot — Monthly Charges by Churn Status</w:t>
      </w:r>
    </w:p>
    <w:p w:rsidR="00223F85" w:rsidRDefault="00C302B2">
      <w:pPr>
        <w:spacing w:after="100"/>
      </w:pPr>
      <w:r>
        <w:rPr>
          <w:noProof/>
        </w:rPr>
        <w:drawing>
          <wp:inline distT="0" distB="0" distL="0" distR="0">
            <wp:extent cx="5334000" cy="381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F85" w:rsidRPr="006849D1" w:rsidRDefault="00C302B2" w:rsidP="006849D1">
      <w:pPr>
        <w:spacing w:after="2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i/>
          <w:iCs/>
          <w:color w:val="555555"/>
          <w:sz w:val="24"/>
          <w:szCs w:val="24"/>
        </w:rPr>
        <w:t>Figure 9: Monthly charges distribution split by churn status.</w:t>
      </w:r>
    </w:p>
    <w:p w:rsidR="00223F85" w:rsidRPr="006849D1" w:rsidRDefault="00C302B2" w:rsidP="006849D1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6849D1">
        <w:rPr>
          <w:rFonts w:ascii="Arial" w:hAnsi="Arial" w:cs="Arial"/>
          <w:sz w:val="24"/>
          <w:szCs w:val="24"/>
        </w:rPr>
        <w:t>Churned customers have a notably higher median monthly charge ($79.65) than retained customers ($64.43). Combin</w:t>
      </w:r>
      <w:r w:rsidRPr="006849D1">
        <w:rPr>
          <w:rFonts w:ascii="Arial" w:hAnsi="Arial" w:cs="Arial"/>
          <w:sz w:val="24"/>
          <w:szCs w:val="24"/>
        </w:rPr>
        <w:t>ed with the contract and internet-service findings, this suggests that customers paying more — often fibre-optic, month-to-month subscribers — are the most price-sensitive and flight-prone segment.</w:t>
      </w:r>
    </w:p>
    <w:p w:rsidR="00D80B27" w:rsidRDefault="00D80B27">
      <w:pPr>
        <w:pStyle w:val="Heading2"/>
        <w:spacing w:before="220" w:after="110"/>
      </w:pPr>
    </w:p>
    <w:p w:rsidR="00D80B27" w:rsidRDefault="00D80B27">
      <w:pPr>
        <w:pStyle w:val="Heading2"/>
        <w:spacing w:before="220" w:after="110"/>
      </w:pPr>
    </w:p>
    <w:p w:rsidR="00D80B27" w:rsidRDefault="00D80B27">
      <w:pPr>
        <w:pStyle w:val="Heading2"/>
        <w:spacing w:before="220" w:after="110"/>
      </w:pPr>
    </w:p>
    <w:p w:rsidR="00D80B27" w:rsidRDefault="00D80B27">
      <w:pPr>
        <w:pStyle w:val="Heading2"/>
        <w:spacing w:before="220" w:after="110"/>
      </w:pPr>
    </w:p>
    <w:p w:rsidR="00D80B27" w:rsidRDefault="00D80B27">
      <w:pPr>
        <w:pStyle w:val="Heading2"/>
        <w:spacing w:before="220" w:after="110"/>
      </w:pPr>
    </w:p>
    <w:p w:rsidR="00D80B27" w:rsidRDefault="00D80B27">
      <w:pPr>
        <w:pStyle w:val="Heading2"/>
        <w:spacing w:before="220" w:after="110"/>
      </w:pPr>
    </w:p>
    <w:p w:rsidR="00D80B27" w:rsidRDefault="00D80B27">
      <w:pPr>
        <w:pStyle w:val="Heading2"/>
        <w:spacing w:before="220" w:after="110"/>
      </w:pPr>
    </w:p>
    <w:p w:rsidR="00D80B27" w:rsidRDefault="00D80B27">
      <w:pPr>
        <w:pStyle w:val="Heading2"/>
        <w:spacing w:before="220" w:after="110"/>
      </w:pPr>
    </w:p>
    <w:p w:rsidR="00D80B27" w:rsidRDefault="00D80B27">
      <w:pPr>
        <w:pStyle w:val="Heading2"/>
        <w:spacing w:before="220" w:after="110"/>
      </w:pPr>
    </w:p>
    <w:p w:rsidR="00223F85" w:rsidRDefault="00C302B2">
      <w:pPr>
        <w:pStyle w:val="Heading2"/>
        <w:spacing w:before="220" w:after="110"/>
      </w:pPr>
      <w:r>
        <w:lastRenderedPageBreak/>
        <w:t xml:space="preserve">3.10 Correlation </w:t>
      </w:r>
      <w:proofErr w:type="spellStart"/>
      <w:r>
        <w:t>Heatmap</w:t>
      </w:r>
      <w:proofErr w:type="spellEnd"/>
    </w:p>
    <w:p w:rsidR="00223F85" w:rsidRDefault="00C302B2">
      <w:pPr>
        <w:spacing w:after="100"/>
      </w:pPr>
      <w:r>
        <w:rPr>
          <w:noProof/>
        </w:rPr>
        <w:drawing>
          <wp:inline distT="0" distB="0" distL="0" distR="0">
            <wp:extent cx="5334000" cy="4191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F85" w:rsidRPr="00E52E21" w:rsidRDefault="00C302B2" w:rsidP="00E52E21">
      <w:pPr>
        <w:spacing w:after="260"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i/>
          <w:iCs/>
          <w:color w:val="555555"/>
          <w:sz w:val="24"/>
          <w:szCs w:val="24"/>
        </w:rPr>
        <w:t xml:space="preserve">Figure 10: Correlation </w:t>
      </w:r>
      <w:proofErr w:type="spellStart"/>
      <w:r w:rsidRPr="00E52E21">
        <w:rPr>
          <w:rFonts w:ascii="Arial" w:hAnsi="Arial" w:cs="Arial"/>
          <w:i/>
          <w:iCs/>
          <w:color w:val="555555"/>
          <w:sz w:val="24"/>
          <w:szCs w:val="24"/>
        </w:rPr>
        <w:t>heatmap</w:t>
      </w:r>
      <w:proofErr w:type="spellEnd"/>
      <w:r w:rsidRPr="00E52E21">
        <w:rPr>
          <w:rFonts w:ascii="Arial" w:hAnsi="Arial" w:cs="Arial"/>
          <w:i/>
          <w:iCs/>
          <w:color w:val="555555"/>
          <w:sz w:val="24"/>
          <w:szCs w:val="24"/>
        </w:rPr>
        <w:t xml:space="preserve"> </w:t>
      </w:r>
      <w:r w:rsidRPr="00E52E21">
        <w:rPr>
          <w:rFonts w:ascii="Arial" w:hAnsi="Arial" w:cs="Arial"/>
          <w:i/>
          <w:iCs/>
          <w:color w:val="555555"/>
          <w:sz w:val="24"/>
          <w:szCs w:val="24"/>
        </w:rPr>
        <w:t xml:space="preserve">of numeric fields (tenure, </w:t>
      </w:r>
      <w:proofErr w:type="spellStart"/>
      <w:r w:rsidRPr="00E52E21">
        <w:rPr>
          <w:rFonts w:ascii="Arial" w:hAnsi="Arial" w:cs="Arial"/>
          <w:i/>
          <w:iCs/>
          <w:color w:val="555555"/>
          <w:sz w:val="24"/>
          <w:szCs w:val="24"/>
        </w:rPr>
        <w:t>MonthlyCharges</w:t>
      </w:r>
      <w:proofErr w:type="spellEnd"/>
      <w:r w:rsidRPr="00E52E21">
        <w:rPr>
          <w:rFonts w:ascii="Arial" w:hAnsi="Arial" w:cs="Arial"/>
          <w:i/>
          <w:iCs/>
          <w:color w:val="555555"/>
          <w:sz w:val="24"/>
          <w:szCs w:val="24"/>
        </w:rPr>
        <w:t xml:space="preserve">, </w:t>
      </w:r>
      <w:proofErr w:type="spellStart"/>
      <w:r w:rsidRPr="00E52E21">
        <w:rPr>
          <w:rFonts w:ascii="Arial" w:hAnsi="Arial" w:cs="Arial"/>
          <w:i/>
          <w:iCs/>
          <w:color w:val="555555"/>
          <w:sz w:val="24"/>
          <w:szCs w:val="24"/>
        </w:rPr>
        <w:t>TotalCharges</w:t>
      </w:r>
      <w:proofErr w:type="spellEnd"/>
      <w:r w:rsidRPr="00E52E21">
        <w:rPr>
          <w:rFonts w:ascii="Arial" w:hAnsi="Arial" w:cs="Arial"/>
          <w:i/>
          <w:iCs/>
          <w:color w:val="555555"/>
          <w:sz w:val="24"/>
          <w:szCs w:val="24"/>
        </w:rPr>
        <w:t xml:space="preserve">, Churn, </w:t>
      </w:r>
      <w:proofErr w:type="spellStart"/>
      <w:r w:rsidRPr="00E52E21">
        <w:rPr>
          <w:rFonts w:ascii="Arial" w:hAnsi="Arial" w:cs="Arial"/>
          <w:i/>
          <w:iCs/>
          <w:color w:val="555555"/>
          <w:sz w:val="24"/>
          <w:szCs w:val="24"/>
        </w:rPr>
        <w:t>SeniorCitizen</w:t>
      </w:r>
      <w:proofErr w:type="spellEnd"/>
      <w:r w:rsidRPr="00E52E21">
        <w:rPr>
          <w:rFonts w:ascii="Arial" w:hAnsi="Arial" w:cs="Arial"/>
          <w:i/>
          <w:iCs/>
          <w:color w:val="555555"/>
          <w:sz w:val="24"/>
          <w:szCs w:val="24"/>
        </w:rPr>
        <w:t>).</w:t>
      </w:r>
    </w:p>
    <w:p w:rsidR="00223F85" w:rsidRPr="00E52E21" w:rsidRDefault="00C302B2" w:rsidP="00E52E21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sz w:val="24"/>
          <w:szCs w:val="24"/>
        </w:rPr>
        <w:t xml:space="preserve">Tenure has the strongest correlation with churn (-0.35) — the negative sign confirms that longer-tenured customers are markedly less likely to churn. </w:t>
      </w:r>
      <w:proofErr w:type="spellStart"/>
      <w:r w:rsidRPr="00E52E21">
        <w:rPr>
          <w:rFonts w:ascii="Arial" w:hAnsi="Arial" w:cs="Arial"/>
          <w:sz w:val="24"/>
          <w:szCs w:val="24"/>
        </w:rPr>
        <w:t>MonthlyCharges</w:t>
      </w:r>
      <w:proofErr w:type="spellEnd"/>
      <w:r w:rsidRPr="00E52E21">
        <w:rPr>
          <w:rFonts w:ascii="Arial" w:hAnsi="Arial" w:cs="Arial"/>
          <w:sz w:val="24"/>
          <w:szCs w:val="24"/>
        </w:rPr>
        <w:t xml:space="preserve"> shows a pos</w:t>
      </w:r>
      <w:r w:rsidRPr="00E52E21">
        <w:rPr>
          <w:rFonts w:ascii="Arial" w:hAnsi="Arial" w:cs="Arial"/>
          <w:sz w:val="24"/>
          <w:szCs w:val="24"/>
        </w:rPr>
        <w:t xml:space="preserve">itive correlation with churn (0.19), reinforcing that higher bills are associated with higher churn risk. </w:t>
      </w:r>
      <w:proofErr w:type="spellStart"/>
      <w:r w:rsidRPr="00E52E21">
        <w:rPr>
          <w:rFonts w:ascii="Arial" w:hAnsi="Arial" w:cs="Arial"/>
          <w:sz w:val="24"/>
          <w:szCs w:val="24"/>
        </w:rPr>
        <w:t>TotalCharges</w:t>
      </w:r>
      <w:proofErr w:type="spellEnd"/>
      <w:r w:rsidRPr="00E52E21">
        <w:rPr>
          <w:rFonts w:ascii="Arial" w:hAnsi="Arial" w:cs="Arial"/>
          <w:sz w:val="24"/>
          <w:szCs w:val="24"/>
        </w:rPr>
        <w:t xml:space="preserve"> correlates strongly with tenure (0.83), which is expected since total spend accumulates over time.</w:t>
      </w:r>
    </w:p>
    <w:p w:rsidR="00223F85" w:rsidRPr="00E52E21" w:rsidRDefault="00C302B2" w:rsidP="00E52E2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sz w:val="24"/>
          <w:szCs w:val="24"/>
        </w:rPr>
        <w:br w:type="page"/>
      </w:r>
    </w:p>
    <w:p w:rsidR="00223F85" w:rsidRDefault="00C302B2">
      <w:pPr>
        <w:pStyle w:val="Heading1"/>
        <w:spacing w:before="320" w:after="150"/>
      </w:pPr>
      <w:r>
        <w:lastRenderedPageBreak/>
        <w:t>Part 4 — Business Insights</w:t>
      </w:r>
    </w:p>
    <w:p w:rsidR="00223F85" w:rsidRPr="00AA00C9" w:rsidRDefault="00C302B2">
      <w:pPr>
        <w:pStyle w:val="Heading2"/>
        <w:spacing w:before="220" w:after="110"/>
        <w:rPr>
          <w:rFonts w:ascii="Arial" w:hAnsi="Arial" w:cs="Arial"/>
        </w:rPr>
      </w:pPr>
      <w:r w:rsidRPr="00AA00C9">
        <w:rPr>
          <w:rFonts w:ascii="Arial" w:hAnsi="Arial" w:cs="Arial"/>
        </w:rPr>
        <w:t xml:space="preserve">4.1 Five </w:t>
      </w:r>
      <w:r w:rsidRPr="00AA00C9">
        <w:rPr>
          <w:rFonts w:ascii="Arial" w:hAnsi="Arial" w:cs="Arial"/>
        </w:rPr>
        <w:t>Key Insights</w:t>
      </w:r>
    </w:p>
    <w:p w:rsidR="00223F85" w:rsidRPr="00E52E21" w:rsidRDefault="00C302B2" w:rsidP="00E52E21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b/>
          <w:bCs/>
          <w:sz w:val="24"/>
          <w:szCs w:val="24"/>
        </w:rPr>
        <w:t xml:space="preserve">1. </w:t>
      </w:r>
      <w:r w:rsidRPr="00E52E21">
        <w:rPr>
          <w:rFonts w:ascii="Arial" w:hAnsi="Arial" w:cs="Arial"/>
          <w:sz w:val="24"/>
          <w:szCs w:val="24"/>
        </w:rPr>
        <w:t>Contract length is the dominant churn driver. Month-to-month customers churn at 42.7%, versus 11.3% for one-year and just 2.8% for two-year contracts — a difference of over 15x between the extremes.</w:t>
      </w:r>
    </w:p>
    <w:p w:rsidR="00223F85" w:rsidRPr="00E52E21" w:rsidRDefault="00C302B2" w:rsidP="00E52E21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b/>
          <w:bCs/>
          <w:sz w:val="24"/>
          <w:szCs w:val="24"/>
        </w:rPr>
        <w:t xml:space="preserve">2. </w:t>
      </w:r>
      <w:r w:rsidRPr="00E52E21">
        <w:rPr>
          <w:rFonts w:ascii="Arial" w:hAnsi="Arial" w:cs="Arial"/>
          <w:sz w:val="24"/>
          <w:szCs w:val="24"/>
        </w:rPr>
        <w:t>Fibre-optic internet customers are dis</w:t>
      </w:r>
      <w:r w:rsidRPr="00E52E21">
        <w:rPr>
          <w:rFonts w:ascii="Arial" w:hAnsi="Arial" w:cs="Arial"/>
          <w:sz w:val="24"/>
          <w:szCs w:val="24"/>
        </w:rPr>
        <w:t>proportionately at risk. Despite being the premium product, fibre optic has the highest churn rate (41.9%) of any internet service tier, suggesting service quality, price, or competitive issues specific to this product.</w:t>
      </w:r>
    </w:p>
    <w:p w:rsidR="00223F85" w:rsidRPr="00E52E21" w:rsidRDefault="00C302B2" w:rsidP="00E52E21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E52E21">
        <w:rPr>
          <w:rFonts w:ascii="Arial" w:hAnsi="Arial" w:cs="Arial"/>
          <w:sz w:val="24"/>
          <w:szCs w:val="24"/>
        </w:rPr>
        <w:t>Manual payment methods signal disengagement. Customers paying via electronic check churn at 45.3%, nearly 3x the rate of customers on automatic payment methods — automatic payments may be a proxy for higher commitment.</w:t>
      </w:r>
    </w:p>
    <w:p w:rsidR="00223F85" w:rsidRPr="00E52E21" w:rsidRDefault="00C302B2" w:rsidP="00E52E21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b/>
          <w:bCs/>
          <w:sz w:val="24"/>
          <w:szCs w:val="24"/>
        </w:rPr>
        <w:t xml:space="preserve">4. </w:t>
      </w:r>
      <w:r w:rsidRPr="00E52E21">
        <w:rPr>
          <w:rFonts w:ascii="Arial" w:hAnsi="Arial" w:cs="Arial"/>
          <w:sz w:val="24"/>
          <w:szCs w:val="24"/>
        </w:rPr>
        <w:t>Tenure and churn are strongly inve</w:t>
      </w:r>
      <w:r w:rsidRPr="00E52E21">
        <w:rPr>
          <w:rFonts w:ascii="Arial" w:hAnsi="Arial" w:cs="Arial"/>
          <w:sz w:val="24"/>
          <w:szCs w:val="24"/>
        </w:rPr>
        <w:t>rsely related. New customers (low tenure) are far more likely to churn than long-tenured ones; the first year of the customer relationship is the highest-risk period.</w:t>
      </w:r>
    </w:p>
    <w:p w:rsidR="00223F85" w:rsidRPr="00E52E21" w:rsidRDefault="00C302B2" w:rsidP="00E52E21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b/>
          <w:bCs/>
          <w:sz w:val="24"/>
          <w:szCs w:val="24"/>
        </w:rPr>
        <w:t xml:space="preserve">5. </w:t>
      </w:r>
      <w:r w:rsidRPr="00E52E21">
        <w:rPr>
          <w:rFonts w:ascii="Arial" w:hAnsi="Arial" w:cs="Arial"/>
          <w:sz w:val="24"/>
          <w:szCs w:val="24"/>
        </w:rPr>
        <w:t>Senior citizens churn at nearly double the rate of non-seniors (41.7% vs. 23.6%), despite being a smaller segment of the overall base — indicating a specific unmet need in this group (e.g., support, pricing, or usability).</w:t>
      </w:r>
    </w:p>
    <w:p w:rsidR="00223F85" w:rsidRPr="00AA00C9" w:rsidRDefault="00C302B2">
      <w:pPr>
        <w:pStyle w:val="Heading2"/>
        <w:spacing w:before="220" w:after="110"/>
        <w:rPr>
          <w:rFonts w:ascii="Arial" w:hAnsi="Arial" w:cs="Arial"/>
        </w:rPr>
      </w:pPr>
      <w:r w:rsidRPr="00AA00C9">
        <w:rPr>
          <w:rFonts w:ascii="Arial" w:hAnsi="Arial" w:cs="Arial"/>
        </w:rPr>
        <w:t>4.2 Business Risks</w:t>
      </w:r>
    </w:p>
    <w:p w:rsidR="00223F85" w:rsidRPr="00E52E21" w:rsidRDefault="00C302B2" w:rsidP="00E52E21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sz w:val="24"/>
          <w:szCs w:val="24"/>
        </w:rPr>
        <w:t>Revenue concen</w:t>
      </w:r>
      <w:r w:rsidRPr="00E52E21">
        <w:rPr>
          <w:rFonts w:ascii="Arial" w:hAnsi="Arial" w:cs="Arial"/>
          <w:sz w:val="24"/>
          <w:szCs w:val="24"/>
        </w:rPr>
        <w:t>tration risk: With month-to-month customers making up over half the customer base and churning at the highest rate, a large share of recurring revenue is structurally exposed and unstable.</w:t>
      </w:r>
    </w:p>
    <w:p w:rsidR="00223F85" w:rsidRPr="00E52E21" w:rsidRDefault="00C302B2" w:rsidP="00E52E21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sz w:val="24"/>
          <w:szCs w:val="24"/>
        </w:rPr>
        <w:t>Premium product risk: The company's flagship fibre-optic offering —</w:t>
      </w:r>
      <w:r w:rsidRPr="00E52E21">
        <w:rPr>
          <w:rFonts w:ascii="Arial" w:hAnsi="Arial" w:cs="Arial"/>
          <w:sz w:val="24"/>
          <w:szCs w:val="24"/>
        </w:rPr>
        <w:t xml:space="preserve"> likely its highest-margin product — has the weakest retention, threatening both revenue and the brand's competitive positioning as a premium provider.</w:t>
      </w:r>
    </w:p>
    <w:p w:rsidR="00223F85" w:rsidRPr="00E52E21" w:rsidRDefault="00C302B2" w:rsidP="00E52E21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sz w:val="24"/>
          <w:szCs w:val="24"/>
        </w:rPr>
        <w:t xml:space="preserve">Early-life attrition risk: A large share of churn happens in customers' first year, meaning acquisition </w:t>
      </w:r>
      <w:r w:rsidRPr="00E52E21">
        <w:rPr>
          <w:rFonts w:ascii="Arial" w:hAnsi="Arial" w:cs="Arial"/>
          <w:sz w:val="24"/>
          <w:szCs w:val="24"/>
        </w:rPr>
        <w:t>spend is being lost quickly, which suppresses customer lifetime value (LTV) and return on acquisition cost.</w:t>
      </w:r>
    </w:p>
    <w:p w:rsidR="00C302B2" w:rsidRDefault="00C302B2">
      <w:pPr>
        <w:pStyle w:val="Heading2"/>
        <w:spacing w:before="220" w:after="110"/>
        <w:rPr>
          <w:rFonts w:ascii="Arial" w:hAnsi="Arial" w:cs="Arial"/>
        </w:rPr>
      </w:pPr>
    </w:p>
    <w:p w:rsidR="00C302B2" w:rsidRDefault="00C302B2">
      <w:pPr>
        <w:pStyle w:val="Heading2"/>
        <w:spacing w:before="220" w:after="110"/>
        <w:rPr>
          <w:rFonts w:ascii="Arial" w:hAnsi="Arial" w:cs="Arial"/>
        </w:rPr>
      </w:pPr>
    </w:p>
    <w:p w:rsidR="00223F85" w:rsidRPr="00AA00C9" w:rsidRDefault="00C302B2">
      <w:pPr>
        <w:pStyle w:val="Heading2"/>
        <w:spacing w:before="220" w:after="110"/>
        <w:rPr>
          <w:rFonts w:ascii="Arial" w:hAnsi="Arial" w:cs="Arial"/>
        </w:rPr>
      </w:pPr>
      <w:bookmarkStart w:id="0" w:name="_GoBack"/>
      <w:bookmarkEnd w:id="0"/>
      <w:r w:rsidRPr="00AA00C9">
        <w:rPr>
          <w:rFonts w:ascii="Arial" w:hAnsi="Arial" w:cs="Arial"/>
        </w:rPr>
        <w:lastRenderedPageBreak/>
        <w:t>4.3 Business Opportunities</w:t>
      </w:r>
    </w:p>
    <w:p w:rsidR="00223F85" w:rsidRPr="00E52E21" w:rsidRDefault="00C302B2" w:rsidP="00E52E21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sz w:val="24"/>
          <w:szCs w:val="24"/>
        </w:rPr>
        <w:t>Contract migration: Incentivising month-to-month customers to move to one- or two-year contracts (via modest discounts or</w:t>
      </w:r>
      <w:r w:rsidRPr="00E52E21">
        <w:rPr>
          <w:rFonts w:ascii="Arial" w:hAnsi="Arial" w:cs="Arial"/>
          <w:sz w:val="24"/>
          <w:szCs w:val="24"/>
        </w:rPr>
        <w:t xml:space="preserve"> perks) could substantially cut churn, since two-year customers churn 15x less often.</w:t>
      </w:r>
    </w:p>
    <w:p w:rsidR="00223F85" w:rsidRPr="00E52E21" w:rsidRDefault="00C302B2" w:rsidP="00E52E21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sz w:val="24"/>
          <w:szCs w:val="24"/>
        </w:rPr>
        <w:t xml:space="preserve">Payment method conversion: Encouraging electronic-check users to switch to automatic bank transfer or credit card payment is a low-cost, low-friction intervention with a </w:t>
      </w:r>
      <w:r w:rsidRPr="00E52E21">
        <w:rPr>
          <w:rFonts w:ascii="Arial" w:hAnsi="Arial" w:cs="Arial"/>
          <w:sz w:val="24"/>
          <w:szCs w:val="24"/>
        </w:rPr>
        <w:t>clear churn-reduction signal.</w:t>
      </w:r>
    </w:p>
    <w:p w:rsidR="00223F85" w:rsidRPr="00E52E21" w:rsidRDefault="00C302B2" w:rsidP="00E52E21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Arial" w:hAnsi="Arial" w:cs="Arial"/>
          <w:sz w:val="24"/>
          <w:szCs w:val="24"/>
        </w:rPr>
      </w:pPr>
      <w:r w:rsidRPr="00E52E21">
        <w:rPr>
          <w:rFonts w:ascii="Arial" w:hAnsi="Arial" w:cs="Arial"/>
          <w:sz w:val="24"/>
          <w:szCs w:val="24"/>
        </w:rPr>
        <w:t>Segment-specific retention offers: Targeted campaigns for fibre-optic subscribers and senior citizens — the two highest-risk segments — could yield an outsized reduction in overall churn relative to a blanket, undifferentiated</w:t>
      </w:r>
      <w:r w:rsidRPr="00E52E21">
        <w:rPr>
          <w:rFonts w:ascii="Arial" w:hAnsi="Arial" w:cs="Arial"/>
          <w:sz w:val="24"/>
          <w:szCs w:val="24"/>
        </w:rPr>
        <w:t xml:space="preserve"> retention program.</w:t>
      </w:r>
    </w:p>
    <w:p w:rsidR="00223F85" w:rsidRDefault="00C302B2">
      <w:r>
        <w:br w:type="page"/>
      </w:r>
    </w:p>
    <w:p w:rsidR="00223F85" w:rsidRPr="00AA00C9" w:rsidRDefault="00C302B2">
      <w:pPr>
        <w:pStyle w:val="Heading1"/>
        <w:spacing w:before="320" w:after="150"/>
        <w:rPr>
          <w:rFonts w:ascii="Arial" w:hAnsi="Arial" w:cs="Arial"/>
        </w:rPr>
      </w:pPr>
      <w:r w:rsidRPr="00AA00C9">
        <w:rPr>
          <w:rFonts w:ascii="Arial" w:hAnsi="Arial" w:cs="Arial"/>
        </w:rPr>
        <w:lastRenderedPageBreak/>
        <w:t>Part 5 — Business Recommendations</w:t>
      </w:r>
    </w:p>
    <w:p w:rsidR="00223F85" w:rsidRPr="00AA00C9" w:rsidRDefault="00C302B2" w:rsidP="00AA00C9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AA00C9">
        <w:rPr>
          <w:rFonts w:ascii="Arial" w:hAnsi="Arial" w:cs="Arial"/>
          <w:b/>
          <w:bCs/>
          <w:sz w:val="24"/>
          <w:szCs w:val="24"/>
        </w:rPr>
        <w:t xml:space="preserve">1. </w:t>
      </w:r>
      <w:r w:rsidRPr="00AA00C9">
        <w:rPr>
          <w:rFonts w:ascii="Arial" w:hAnsi="Arial" w:cs="Arial"/>
          <w:sz w:val="24"/>
          <w:szCs w:val="24"/>
        </w:rPr>
        <w:t>Launch a contract upgrade campaign: Offer month-to-month customers a modest discount or value-add (e.g., one month free, priority support) to migrate to a one- or two-year contract, prioritising cu</w:t>
      </w:r>
      <w:r w:rsidRPr="00AA00C9">
        <w:rPr>
          <w:rFonts w:ascii="Arial" w:hAnsi="Arial" w:cs="Arial"/>
          <w:sz w:val="24"/>
          <w:szCs w:val="24"/>
        </w:rPr>
        <w:t>stomers in their first 6 months of tenure.</w:t>
      </w:r>
    </w:p>
    <w:p w:rsidR="00223F85" w:rsidRPr="00AA00C9" w:rsidRDefault="00C302B2" w:rsidP="00AA00C9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AA00C9">
        <w:rPr>
          <w:rFonts w:ascii="Arial" w:hAnsi="Arial" w:cs="Arial"/>
          <w:b/>
          <w:bCs/>
          <w:sz w:val="24"/>
          <w:szCs w:val="24"/>
        </w:rPr>
        <w:t xml:space="preserve">2. </w:t>
      </w:r>
      <w:r w:rsidRPr="00AA00C9">
        <w:rPr>
          <w:rFonts w:ascii="Arial" w:hAnsi="Arial" w:cs="Arial"/>
          <w:sz w:val="24"/>
          <w:szCs w:val="24"/>
        </w:rPr>
        <w:t>Investigate fibre-optic service quality and pricing: Conduct a focused review (network reliability, competitor pricing, customer support tickets) specifically for fibre-optic subscribers to identify the root ca</w:t>
      </w:r>
      <w:r w:rsidRPr="00AA00C9">
        <w:rPr>
          <w:rFonts w:ascii="Arial" w:hAnsi="Arial" w:cs="Arial"/>
          <w:sz w:val="24"/>
          <w:szCs w:val="24"/>
        </w:rPr>
        <w:t>use of the 41.9% churn rate.</w:t>
      </w:r>
    </w:p>
    <w:p w:rsidR="00223F85" w:rsidRPr="00AA00C9" w:rsidRDefault="00C302B2" w:rsidP="00AA00C9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AA00C9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AA00C9">
        <w:rPr>
          <w:rFonts w:ascii="Arial" w:hAnsi="Arial" w:cs="Arial"/>
          <w:sz w:val="24"/>
          <w:szCs w:val="24"/>
        </w:rPr>
        <w:t>Promote automatic payment enrolment: Run a campaign encouraging electronic-check customers to switch to automatic bank transfer or credit card payment, using a small one-time incentive (e.g., bill credit) to drive adoption.</w:t>
      </w:r>
    </w:p>
    <w:p w:rsidR="00223F85" w:rsidRPr="00AA00C9" w:rsidRDefault="00C302B2" w:rsidP="00AA00C9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AA00C9">
        <w:rPr>
          <w:rFonts w:ascii="Arial" w:hAnsi="Arial" w:cs="Arial"/>
          <w:b/>
          <w:bCs/>
          <w:sz w:val="24"/>
          <w:szCs w:val="24"/>
        </w:rPr>
        <w:t xml:space="preserve">4. </w:t>
      </w:r>
      <w:r w:rsidRPr="00AA00C9">
        <w:rPr>
          <w:rFonts w:ascii="Arial" w:hAnsi="Arial" w:cs="Arial"/>
          <w:sz w:val="24"/>
          <w:szCs w:val="24"/>
        </w:rPr>
        <w:t xml:space="preserve">Strengthen new-customer </w:t>
      </w:r>
      <w:proofErr w:type="spellStart"/>
      <w:r w:rsidRPr="00AA00C9">
        <w:rPr>
          <w:rFonts w:ascii="Arial" w:hAnsi="Arial" w:cs="Arial"/>
          <w:sz w:val="24"/>
          <w:szCs w:val="24"/>
        </w:rPr>
        <w:t>onboarding</w:t>
      </w:r>
      <w:proofErr w:type="spellEnd"/>
      <w:r w:rsidRPr="00AA00C9">
        <w:rPr>
          <w:rFonts w:ascii="Arial" w:hAnsi="Arial" w:cs="Arial"/>
          <w:sz w:val="24"/>
          <w:szCs w:val="24"/>
        </w:rPr>
        <w:t>: Introduce a structured first-90-days engagement program (welcome calls, usage tips, proactive support check-ins) to reduce early-tenure churn, the period where risk is highest.</w:t>
      </w:r>
    </w:p>
    <w:p w:rsidR="00223F85" w:rsidRPr="00AA00C9" w:rsidRDefault="00C302B2" w:rsidP="00AA00C9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AA00C9">
        <w:rPr>
          <w:rFonts w:ascii="Arial" w:hAnsi="Arial" w:cs="Arial"/>
          <w:b/>
          <w:bCs/>
          <w:sz w:val="24"/>
          <w:szCs w:val="24"/>
        </w:rPr>
        <w:t xml:space="preserve">5. </w:t>
      </w:r>
      <w:r w:rsidRPr="00AA00C9">
        <w:rPr>
          <w:rFonts w:ascii="Arial" w:hAnsi="Arial" w:cs="Arial"/>
          <w:sz w:val="24"/>
          <w:szCs w:val="24"/>
        </w:rPr>
        <w:t>Build a senior-citizen retention trac</w:t>
      </w:r>
      <w:r w:rsidRPr="00AA00C9">
        <w:rPr>
          <w:rFonts w:ascii="Arial" w:hAnsi="Arial" w:cs="Arial"/>
          <w:sz w:val="24"/>
          <w:szCs w:val="24"/>
        </w:rPr>
        <w:t>k: Develop simplified pricing plans, accessible customer support options, and proactive outreach specifically for senior customers, who churn at nearly double the rate of non-seniors.</w:t>
      </w:r>
    </w:p>
    <w:p w:rsidR="00223F85" w:rsidRPr="00AA00C9" w:rsidRDefault="00C302B2" w:rsidP="00AA00C9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AA00C9">
        <w:rPr>
          <w:rFonts w:ascii="Arial" w:hAnsi="Arial" w:cs="Arial"/>
          <w:b/>
          <w:bCs/>
          <w:sz w:val="24"/>
          <w:szCs w:val="24"/>
        </w:rPr>
        <w:t xml:space="preserve">6. </w:t>
      </w:r>
      <w:r w:rsidRPr="00AA00C9">
        <w:rPr>
          <w:rFonts w:ascii="Arial" w:hAnsi="Arial" w:cs="Arial"/>
          <w:sz w:val="24"/>
          <w:szCs w:val="24"/>
        </w:rPr>
        <w:t>Deploy a churn-risk scoring model: Use the patterns identified here (</w:t>
      </w:r>
      <w:r w:rsidRPr="00AA00C9">
        <w:rPr>
          <w:rFonts w:ascii="Arial" w:hAnsi="Arial" w:cs="Arial"/>
          <w:sz w:val="24"/>
          <w:szCs w:val="24"/>
        </w:rPr>
        <w:t>contract type, internet service, payment method, tenure, monthly charges) as inputs to a predictive model that flags at-risk customers before they churn, enabling proactive rather than reactive retention.</w:t>
      </w:r>
    </w:p>
    <w:p w:rsidR="00223F85" w:rsidRPr="00AA00C9" w:rsidRDefault="00C302B2">
      <w:pPr>
        <w:pStyle w:val="Heading2"/>
        <w:spacing w:before="220" w:after="110"/>
        <w:rPr>
          <w:rFonts w:ascii="Arial" w:hAnsi="Arial" w:cs="Arial"/>
        </w:rPr>
      </w:pPr>
      <w:r w:rsidRPr="00AA00C9">
        <w:rPr>
          <w:rFonts w:ascii="Arial" w:hAnsi="Arial" w:cs="Arial"/>
        </w:rPr>
        <w:t>Conclusion</w:t>
      </w:r>
    </w:p>
    <w:p w:rsidR="00223F85" w:rsidRPr="00AA00C9" w:rsidRDefault="00C302B2" w:rsidP="00AA00C9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AA00C9">
        <w:rPr>
          <w:rFonts w:ascii="Arial" w:hAnsi="Arial" w:cs="Arial"/>
          <w:sz w:val="24"/>
          <w:szCs w:val="24"/>
        </w:rPr>
        <w:t>This analysis shows that churn at this c</w:t>
      </w:r>
      <w:r w:rsidRPr="00AA00C9">
        <w:rPr>
          <w:rFonts w:ascii="Arial" w:hAnsi="Arial" w:cs="Arial"/>
          <w:sz w:val="24"/>
          <w:szCs w:val="24"/>
        </w:rPr>
        <w:t>ompany is not random — it is concentrated in specific, identifiable segments: month-to-month contracts, fibre-optic subscribers, electronic-check payers, new customers, and senior citizens. Because these drivers are concrete and actionable, targeted retent</w:t>
      </w:r>
      <w:r w:rsidRPr="00AA00C9">
        <w:rPr>
          <w:rFonts w:ascii="Arial" w:hAnsi="Arial" w:cs="Arial"/>
          <w:sz w:val="24"/>
          <w:szCs w:val="24"/>
        </w:rPr>
        <w:t>ion investment in these segments should yield a measurably better return than an undifferentiated, company-wide retention effort.</w:t>
      </w:r>
    </w:p>
    <w:sectPr w:rsidR="00223F85" w:rsidRPr="00AA00C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94582"/>
    <w:multiLevelType w:val="hybridMultilevel"/>
    <w:tmpl w:val="7CEA927A"/>
    <w:lvl w:ilvl="0" w:tplc="F25EADA8">
      <w:start w:val="1"/>
      <w:numFmt w:val="bullet"/>
      <w:lvlText w:val="●"/>
      <w:lvlJc w:val="left"/>
      <w:pPr>
        <w:ind w:left="720" w:hanging="360"/>
      </w:pPr>
    </w:lvl>
    <w:lvl w:ilvl="1" w:tplc="7228E47E">
      <w:start w:val="1"/>
      <w:numFmt w:val="bullet"/>
      <w:lvlText w:val="○"/>
      <w:lvlJc w:val="left"/>
      <w:pPr>
        <w:ind w:left="1440" w:hanging="360"/>
      </w:pPr>
    </w:lvl>
    <w:lvl w:ilvl="2" w:tplc="4E5A3C62">
      <w:start w:val="1"/>
      <w:numFmt w:val="bullet"/>
      <w:lvlText w:val="■"/>
      <w:lvlJc w:val="left"/>
      <w:pPr>
        <w:ind w:left="2160" w:hanging="360"/>
      </w:pPr>
    </w:lvl>
    <w:lvl w:ilvl="3" w:tplc="DA7C7F6E">
      <w:start w:val="1"/>
      <w:numFmt w:val="bullet"/>
      <w:lvlText w:val="●"/>
      <w:lvlJc w:val="left"/>
      <w:pPr>
        <w:ind w:left="2880" w:hanging="360"/>
      </w:pPr>
    </w:lvl>
    <w:lvl w:ilvl="4" w:tplc="3D822C14">
      <w:start w:val="1"/>
      <w:numFmt w:val="bullet"/>
      <w:lvlText w:val="○"/>
      <w:lvlJc w:val="left"/>
      <w:pPr>
        <w:ind w:left="3600" w:hanging="360"/>
      </w:pPr>
    </w:lvl>
    <w:lvl w:ilvl="5" w:tplc="79AAE1F4">
      <w:start w:val="1"/>
      <w:numFmt w:val="bullet"/>
      <w:lvlText w:val="■"/>
      <w:lvlJc w:val="left"/>
      <w:pPr>
        <w:ind w:left="4320" w:hanging="360"/>
      </w:pPr>
    </w:lvl>
    <w:lvl w:ilvl="6" w:tplc="009E2830">
      <w:start w:val="1"/>
      <w:numFmt w:val="bullet"/>
      <w:lvlText w:val="●"/>
      <w:lvlJc w:val="left"/>
      <w:pPr>
        <w:ind w:left="5040" w:hanging="360"/>
      </w:pPr>
    </w:lvl>
    <w:lvl w:ilvl="7" w:tplc="0366A6AA">
      <w:start w:val="1"/>
      <w:numFmt w:val="bullet"/>
      <w:lvlText w:val="●"/>
      <w:lvlJc w:val="left"/>
      <w:pPr>
        <w:ind w:left="5760" w:hanging="360"/>
      </w:pPr>
    </w:lvl>
    <w:lvl w:ilvl="8" w:tplc="6C8490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F85"/>
    <w:rsid w:val="00223F85"/>
    <w:rsid w:val="002271CE"/>
    <w:rsid w:val="006849D1"/>
    <w:rsid w:val="007F01D0"/>
    <w:rsid w:val="00AA00C9"/>
    <w:rsid w:val="00C302B2"/>
    <w:rsid w:val="00D80B27"/>
    <w:rsid w:val="00DC1430"/>
    <w:rsid w:val="00E5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67A732"/>
  <w15:docId w15:val="{69BBAA2B-E91E-402C-8A2A-C0337892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1741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2026-08-09T13:11:00Z</dcterms:created>
  <dcterms:modified xsi:type="dcterms:W3CDTF">2026-08-09T13:33:00Z</dcterms:modified>
</cp:coreProperties>
</file>