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B2E" w:rsidRPr="00791E6E" w:rsidRDefault="00BB1BD8">
      <w:pPr>
        <w:spacing w:after="60"/>
        <w:rPr>
          <w:rFonts w:ascii="Arial" w:hAnsi="Arial" w:cs="Arial"/>
        </w:rPr>
      </w:pPr>
      <w:r w:rsidRPr="00791E6E">
        <w:rPr>
          <w:rFonts w:ascii="Arial" w:hAnsi="Arial" w:cs="Arial"/>
          <w:b/>
          <w:bCs/>
          <w:color w:val="2E5266"/>
          <w:sz w:val="44"/>
          <w:szCs w:val="44"/>
        </w:rPr>
        <w:t>Dataset Inspection Report</w:t>
      </w:r>
    </w:p>
    <w:p w:rsidR="00ED5B2E" w:rsidRPr="00791E6E" w:rsidRDefault="00BB1BD8">
      <w:pPr>
        <w:spacing w:after="300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i/>
          <w:iCs/>
          <w:color w:val="666666"/>
          <w:sz w:val="24"/>
          <w:szCs w:val="24"/>
        </w:rPr>
        <w:t>Telco Customer Churn Dataset — Data Analytics Internship, AnalystLab Africa</w:t>
      </w:r>
    </w:p>
    <w:p w:rsidR="00ED5B2E" w:rsidRPr="00791E6E" w:rsidRDefault="00BB1BD8">
      <w:pPr>
        <w:pStyle w:val="Heading1"/>
        <w:spacing w:before="300" w:after="150"/>
        <w:rPr>
          <w:rFonts w:ascii="Arial" w:hAnsi="Arial" w:cs="Arial"/>
        </w:rPr>
      </w:pPr>
      <w:r w:rsidRPr="00791E6E">
        <w:rPr>
          <w:rFonts w:ascii="Arial" w:hAnsi="Arial" w:cs="Arial"/>
        </w:rPr>
        <w:t>1. Dataset Overview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>The dataset used for this project is the Telco Customer Churn dataset (file: WA_Fn-UseC_-Telco-Customer-Churn.csv). It contains one record per customer for a telecommunications company, capturing demographic details, account information, subscribed service</w:t>
      </w:r>
      <w:r w:rsidRPr="00791E6E">
        <w:rPr>
          <w:rFonts w:ascii="Arial" w:hAnsi="Arial" w:cs="Arial"/>
          <w:sz w:val="24"/>
          <w:szCs w:val="24"/>
        </w:rPr>
        <w:t>s, and whether the customer churned. The dataset was imported into Excel using Data &gt; Get Data &gt; From Text/CSV to ensure the comma-delimited columns were read correctly.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5B2E" w:rsidRPr="00791E6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Property</w:t>
            </w:r>
          </w:p>
        </w:tc>
        <w:tc>
          <w:tcPr>
            <w:tcW w:w="468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ED5B2E" w:rsidRPr="00791E6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Number of rows (customers)</w:t>
            </w:r>
          </w:p>
        </w:tc>
        <w:tc>
          <w:tcPr>
            <w:tcW w:w="468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7,043</w:t>
            </w:r>
          </w:p>
        </w:tc>
      </w:tr>
      <w:tr w:rsidR="00ED5B2E" w:rsidRPr="00791E6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FF3F5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Number of columns</w:t>
            </w:r>
          </w:p>
        </w:tc>
        <w:tc>
          <w:tcPr>
            <w:tcW w:w="4680" w:type="dxa"/>
            <w:shd w:val="clear" w:color="auto" w:fill="EFF3F5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ED5B2E" w:rsidRPr="00791E6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Unit of observation</w:t>
            </w:r>
          </w:p>
        </w:tc>
        <w:tc>
          <w:tcPr>
            <w:tcW w:w="468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One row per customer</w:t>
            </w:r>
          </w:p>
        </w:tc>
      </w:tr>
      <w:tr w:rsidR="00ED5B2E" w:rsidRPr="00791E6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FF3F5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Target variable</w:t>
            </w:r>
          </w:p>
        </w:tc>
        <w:tc>
          <w:tcPr>
            <w:tcW w:w="4680" w:type="dxa"/>
            <w:shd w:val="clear" w:color="auto" w:fill="EFF3F5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Churn (Yes / No)</w:t>
            </w:r>
          </w:p>
        </w:tc>
      </w:tr>
    </w:tbl>
    <w:p w:rsidR="00ED5B2E" w:rsidRPr="00791E6E" w:rsidRDefault="00BB1BD8">
      <w:pPr>
        <w:pStyle w:val="Heading1"/>
        <w:spacing w:before="300" w:after="150"/>
        <w:rPr>
          <w:rFonts w:ascii="Arial" w:hAnsi="Arial" w:cs="Arial"/>
        </w:rPr>
      </w:pPr>
      <w:r w:rsidRPr="00791E6E">
        <w:rPr>
          <w:rFonts w:ascii="Arial" w:hAnsi="Arial" w:cs="Arial"/>
        </w:rPr>
        <w:t>2. Column Data Types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 xml:space="preserve">Each of the 21 columns was checked by inspecting cell alignment (numbers align </w:t>
      </w:r>
      <w:r w:rsidR="00791E6E" w:rsidRPr="00791E6E">
        <w:rPr>
          <w:rFonts w:ascii="Arial" w:hAnsi="Arial" w:cs="Arial"/>
          <w:sz w:val="24"/>
          <w:szCs w:val="24"/>
        </w:rPr>
        <w:t>right;</w:t>
      </w:r>
      <w:r w:rsidRPr="00791E6E">
        <w:rPr>
          <w:rFonts w:ascii="Arial" w:hAnsi="Arial" w:cs="Arial"/>
          <w:sz w:val="24"/>
          <w:szCs w:val="24"/>
        </w:rPr>
        <w:t xml:space="preserve"> text aligns left by default in Excel). Most columns are categorical (text) fields such as gender, Contract, InternetService, and PaymentMethod. Three columns are numeric:</w:t>
      </w:r>
      <w:r w:rsidRPr="00791E6E">
        <w:rPr>
          <w:rFonts w:ascii="Arial" w:hAnsi="Arial" w:cs="Arial"/>
          <w:sz w:val="24"/>
          <w:szCs w:val="24"/>
        </w:rPr>
        <w:t xml:space="preserve"> tenure (months), MonthlyCharges, and TotalCharges.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>One inconsistency was identified: TotalCharges, although representing a monetary amount, was stored as a text field rather than a number, confirmed by its left-aligned values. This required special handli</w:t>
      </w:r>
      <w:r w:rsidRPr="00791E6E">
        <w:rPr>
          <w:rFonts w:ascii="Arial" w:hAnsi="Arial" w:cs="Arial"/>
          <w:sz w:val="24"/>
          <w:szCs w:val="24"/>
        </w:rPr>
        <w:t>ng during inspection (see Section 3).</w:t>
      </w:r>
    </w:p>
    <w:p w:rsidR="00ED5B2E" w:rsidRPr="00791E6E" w:rsidRDefault="00BB1BD8">
      <w:pPr>
        <w:pStyle w:val="Heading1"/>
        <w:spacing w:before="300" w:after="150"/>
        <w:rPr>
          <w:rFonts w:ascii="Arial" w:hAnsi="Arial" w:cs="Arial"/>
        </w:rPr>
      </w:pPr>
      <w:r w:rsidRPr="00791E6E">
        <w:rPr>
          <w:rFonts w:ascii="Arial" w:hAnsi="Arial" w:cs="Arial"/>
        </w:rPr>
        <w:t>3. Missing Values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 xml:space="preserve">A standard blank check using </w:t>
      </w:r>
      <w:proofErr w:type="gramStart"/>
      <w:r w:rsidRPr="00791E6E">
        <w:rPr>
          <w:rFonts w:ascii="Arial" w:hAnsi="Arial" w:cs="Arial"/>
          <w:sz w:val="24"/>
          <w:szCs w:val="24"/>
        </w:rPr>
        <w:t>COUNTBLANK(</w:t>
      </w:r>
      <w:proofErr w:type="gramEnd"/>
      <w:r w:rsidRPr="00791E6E">
        <w:rPr>
          <w:rFonts w:ascii="Arial" w:hAnsi="Arial" w:cs="Arial"/>
          <w:sz w:val="24"/>
          <w:szCs w:val="24"/>
        </w:rPr>
        <w:t>) was run across all 21 columns and returned 0 for every column, including TotalCharges — suggesting the dataset was complete.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>However, because TotalCharges was</w:t>
      </w:r>
      <w:r w:rsidRPr="00791E6E">
        <w:rPr>
          <w:rFonts w:ascii="Arial" w:hAnsi="Arial" w:cs="Arial"/>
          <w:sz w:val="24"/>
          <w:szCs w:val="24"/>
        </w:rPr>
        <w:t xml:space="preserve"> stored as text rather than numeric, a deeper check was carried out using a TRIM-based formula (SUMPRODUCT(--(TRIM(range)=""))), which detects blank-looking text values that COUNTBLANK does not catch. This revealed 11 hidden blank entries in TotalCharges t</w:t>
      </w:r>
      <w:r w:rsidRPr="00791E6E">
        <w:rPr>
          <w:rFonts w:ascii="Arial" w:hAnsi="Arial" w:cs="Arial"/>
          <w:sz w:val="24"/>
          <w:szCs w:val="24"/>
        </w:rPr>
        <w:t>hat a standard check missed entirely.</w:t>
      </w:r>
    </w:p>
    <w:p w:rsidR="00791E6E" w:rsidRDefault="00791E6E">
      <w:pPr>
        <w:pStyle w:val="Heading2"/>
        <w:spacing w:before="240" w:after="120"/>
      </w:pPr>
    </w:p>
    <w:p w:rsidR="00ED5B2E" w:rsidRPr="00791E6E" w:rsidRDefault="00BB1BD8">
      <w:pPr>
        <w:pStyle w:val="Heading2"/>
        <w:spacing w:before="240" w:after="120"/>
        <w:rPr>
          <w:rFonts w:ascii="Arial" w:hAnsi="Arial" w:cs="Arial"/>
        </w:rPr>
      </w:pPr>
      <w:r w:rsidRPr="00791E6E">
        <w:rPr>
          <w:rFonts w:ascii="Arial" w:hAnsi="Arial" w:cs="Arial"/>
        </w:rPr>
        <w:lastRenderedPageBreak/>
        <w:t>Likely Explanation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>These 11 rows are believed to belong to customers with zero months of tenure — i.e. customers who had only just joined and had not yet received a bill. This is a plausible, logical explanation for th</w:t>
      </w:r>
      <w:r w:rsidRPr="00791E6E">
        <w:rPr>
          <w:rFonts w:ascii="Arial" w:hAnsi="Arial" w:cs="Arial"/>
          <w:sz w:val="24"/>
          <w:szCs w:val="24"/>
        </w:rPr>
        <w:t>e gap rather than a data entry error, though it was not exhaustively cross-verified row by row in this analysis.</w:t>
      </w:r>
    </w:p>
    <w:p w:rsidR="00ED5B2E" w:rsidRPr="00791E6E" w:rsidRDefault="00BB1BD8">
      <w:pPr>
        <w:pStyle w:val="Heading2"/>
        <w:spacing w:before="240" w:after="120"/>
        <w:rPr>
          <w:rFonts w:ascii="Arial" w:hAnsi="Arial" w:cs="Arial"/>
        </w:rPr>
      </w:pPr>
      <w:r w:rsidRPr="00791E6E">
        <w:rPr>
          <w:rFonts w:ascii="Arial" w:hAnsi="Arial" w:cs="Arial"/>
        </w:rPr>
        <w:t>Recommended Treatment</w:t>
      </w:r>
    </w:p>
    <w:p w:rsidR="00E05CA5" w:rsidRPr="00E05CA5" w:rsidRDefault="00E05CA5" w:rsidP="00E05C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E05CA5">
        <w:rPr>
          <w:rFonts w:ascii="Arial" w:hAnsi="Arial" w:cs="Arial"/>
          <w:sz w:val="24"/>
          <w:szCs w:val="24"/>
        </w:rPr>
        <w:t xml:space="preserve">Convert both MonthlyCharges and TotalCharges from text to numeric data types (e.g. using the </w:t>
      </w:r>
      <w:proofErr w:type="gramStart"/>
      <w:r w:rsidRPr="00E05CA5">
        <w:rPr>
          <w:rFonts w:ascii="Arial" w:hAnsi="Arial" w:cs="Arial"/>
          <w:sz w:val="24"/>
          <w:szCs w:val="24"/>
        </w:rPr>
        <w:t>VALUE(</w:t>
      </w:r>
      <w:proofErr w:type="gramEnd"/>
      <w:r w:rsidRPr="00E05CA5">
        <w:rPr>
          <w:rFonts w:ascii="Arial" w:hAnsi="Arial" w:cs="Arial"/>
          <w:sz w:val="24"/>
          <w:szCs w:val="24"/>
        </w:rPr>
        <w:t>) function), since neither can be used in calculations or charts while stored as text.</w:t>
      </w:r>
    </w:p>
    <w:p w:rsidR="00E05CA5" w:rsidRPr="00E05CA5" w:rsidRDefault="00E05CA5" w:rsidP="00E05CA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E05CA5">
        <w:rPr>
          <w:rFonts w:ascii="Arial" w:hAnsi="Arial" w:cs="Arial"/>
          <w:sz w:val="24"/>
          <w:szCs w:val="24"/>
        </w:rPr>
        <w:t>Fill the 11 hidden blank entries in TotalCharges with 0, consistent with new customers who have no billing history yet — MonthlyCharges requires no such fix, as it has no missing values.</w:t>
      </w:r>
    </w:p>
    <w:p w:rsidR="00ED5B2E" w:rsidRDefault="00BB1BD8">
      <w:pPr>
        <w:pStyle w:val="Heading1"/>
        <w:spacing w:before="300" w:after="150"/>
      </w:pPr>
      <w:r>
        <w:t>4</w:t>
      </w:r>
      <w:r>
        <w:t>. Duplicate Records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>Duplicate rows were checked using Excel's Data &gt; Remove Duplicates tool across all columns, and customerID uniqueness was independentl</w:t>
      </w:r>
      <w:r w:rsidRPr="00791E6E">
        <w:rPr>
          <w:rFonts w:ascii="Arial" w:hAnsi="Arial" w:cs="Arial"/>
          <w:sz w:val="24"/>
          <w:szCs w:val="24"/>
        </w:rPr>
        <w:t>y verified using conditional formatting to visually flag any repeated IDs.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>Both checks confirmed there are no duplicate records in the dataset: all 7,043 customerID values are unique, and no full-row duplicates were found.</w:t>
      </w:r>
    </w:p>
    <w:p w:rsidR="00ED5B2E" w:rsidRPr="00791E6E" w:rsidRDefault="00BB1BD8">
      <w:pPr>
        <w:pStyle w:val="Heading1"/>
        <w:spacing w:before="300" w:after="150"/>
        <w:rPr>
          <w:rFonts w:ascii="Arial" w:hAnsi="Arial" w:cs="Arial"/>
        </w:rPr>
      </w:pPr>
      <w:r w:rsidRPr="00791E6E">
        <w:rPr>
          <w:rFonts w:ascii="Arial" w:hAnsi="Arial" w:cs="Arial"/>
        </w:rPr>
        <w:t>5. Summary Statistics (Numeric Fi</w:t>
      </w:r>
      <w:r w:rsidRPr="00791E6E">
        <w:rPr>
          <w:rFonts w:ascii="Arial" w:hAnsi="Arial" w:cs="Arial"/>
        </w:rPr>
        <w:t>elds)</w:t>
      </w:r>
    </w:p>
    <w:p w:rsidR="00ED5B2E" w:rsidRPr="00791E6E" w:rsidRDefault="00BB1BD8" w:rsidP="00791E6E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791E6E">
        <w:rPr>
          <w:rFonts w:ascii="Arial" w:hAnsi="Arial" w:cs="Arial"/>
          <w:sz w:val="24"/>
          <w:szCs w:val="24"/>
        </w:rPr>
        <w:t>Descriptive statistics were computed for the three key numeric fields using AVERAGE, MEDIAN, MIN, MAX, and STDEV.S.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1431"/>
        <w:gridCol w:w="1429"/>
        <w:gridCol w:w="980"/>
        <w:gridCol w:w="1248"/>
        <w:gridCol w:w="1445"/>
      </w:tblGrid>
      <w:tr w:rsidR="00ED2AB8" w:rsidRPr="00791E6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56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Average</w:t>
            </w:r>
          </w:p>
        </w:tc>
        <w:tc>
          <w:tcPr>
            <w:tcW w:w="156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Median</w:t>
            </w:r>
          </w:p>
        </w:tc>
        <w:tc>
          <w:tcPr>
            <w:tcW w:w="108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Min</w:t>
            </w:r>
          </w:p>
        </w:tc>
        <w:tc>
          <w:tcPr>
            <w:tcW w:w="144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Max</w:t>
            </w:r>
          </w:p>
        </w:tc>
        <w:tc>
          <w:tcPr>
            <w:tcW w:w="1600" w:type="dxa"/>
            <w:shd w:val="clear" w:color="auto" w:fill="2E5266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Std</w:t>
            </w:r>
            <w:proofErr w:type="spellEnd"/>
            <w:r w:rsidRPr="00791E6E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Dev</w:t>
            </w:r>
          </w:p>
        </w:tc>
      </w:tr>
      <w:tr w:rsidR="00ED2AB8" w:rsidRPr="00791E6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tenure (months)</w:t>
            </w:r>
          </w:p>
        </w:tc>
        <w:tc>
          <w:tcPr>
            <w:tcW w:w="156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32.37</w:t>
            </w:r>
          </w:p>
        </w:tc>
        <w:tc>
          <w:tcPr>
            <w:tcW w:w="156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29.00</w:t>
            </w:r>
          </w:p>
        </w:tc>
        <w:tc>
          <w:tcPr>
            <w:tcW w:w="108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144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160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24.56</w:t>
            </w:r>
          </w:p>
        </w:tc>
      </w:tr>
      <w:tr w:rsidR="00ED2AB8" w:rsidRPr="00791E6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FF3F5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MonthlyCharges ($)</w:t>
            </w:r>
          </w:p>
        </w:tc>
        <w:tc>
          <w:tcPr>
            <w:tcW w:w="1560" w:type="dxa"/>
            <w:shd w:val="clear" w:color="auto" w:fill="EFF3F5"/>
          </w:tcPr>
          <w:p w:rsidR="00ED5B2E" w:rsidRPr="00791E6E" w:rsidRDefault="00656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65.30</w:t>
            </w:r>
          </w:p>
        </w:tc>
        <w:tc>
          <w:tcPr>
            <w:tcW w:w="1560" w:type="dxa"/>
            <w:shd w:val="clear" w:color="auto" w:fill="EFF3F5"/>
          </w:tcPr>
          <w:p w:rsidR="00ED5B2E" w:rsidRPr="00791E6E" w:rsidRDefault="00ED2A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1080" w:type="dxa"/>
            <w:shd w:val="clear" w:color="auto" w:fill="EFF3F5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18.25</w:t>
            </w:r>
          </w:p>
        </w:tc>
        <w:tc>
          <w:tcPr>
            <w:tcW w:w="1440" w:type="dxa"/>
            <w:shd w:val="clear" w:color="auto" w:fill="EFF3F5"/>
          </w:tcPr>
          <w:p w:rsidR="00ED5B2E" w:rsidRPr="00791E6E" w:rsidRDefault="00ED2A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1600" w:type="dxa"/>
            <w:shd w:val="clear" w:color="auto" w:fill="EFF3F5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30.09</w:t>
            </w:r>
          </w:p>
        </w:tc>
      </w:tr>
      <w:tr w:rsidR="00ED2AB8" w:rsidRPr="00791E6E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TotalCharges ($)</w:t>
            </w:r>
          </w:p>
        </w:tc>
        <w:tc>
          <w:tcPr>
            <w:tcW w:w="1560" w:type="dxa"/>
            <w:shd w:val="clear" w:color="auto" w:fill="FFFFFF"/>
          </w:tcPr>
          <w:p w:rsidR="00ED5B2E" w:rsidRPr="00791E6E" w:rsidRDefault="0065660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2323.</w:t>
            </w:r>
          </w:p>
        </w:tc>
        <w:tc>
          <w:tcPr>
            <w:tcW w:w="1560" w:type="dxa"/>
            <w:shd w:val="clear" w:color="auto" w:fill="FFFFFF"/>
          </w:tcPr>
          <w:p w:rsidR="00ED5B2E" w:rsidRPr="00791E6E" w:rsidRDefault="00BB1BD8">
            <w:pPr>
              <w:rPr>
                <w:rFonts w:ascii="Arial" w:hAnsi="Arial" w:cs="Arial"/>
                <w:sz w:val="24"/>
                <w:szCs w:val="24"/>
              </w:rPr>
            </w:pPr>
            <w:r w:rsidRPr="00791E6E">
              <w:rPr>
                <w:rFonts w:ascii="Arial" w:hAnsi="Arial" w:cs="Arial"/>
                <w:sz w:val="24"/>
                <w:szCs w:val="24"/>
              </w:rPr>
              <w:t>1,394.55</w:t>
            </w:r>
          </w:p>
        </w:tc>
        <w:tc>
          <w:tcPr>
            <w:tcW w:w="1080" w:type="dxa"/>
            <w:shd w:val="clear" w:color="auto" w:fill="FFFFFF"/>
          </w:tcPr>
          <w:p w:rsidR="00ED5B2E" w:rsidRPr="00791E6E" w:rsidRDefault="00ED2A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440" w:type="dxa"/>
            <w:shd w:val="clear" w:color="auto" w:fill="FFFFFF"/>
          </w:tcPr>
          <w:p w:rsidR="00ED5B2E" w:rsidRPr="00791E6E" w:rsidRDefault="00ED2A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8405</w:t>
            </w:r>
          </w:p>
        </w:tc>
        <w:tc>
          <w:tcPr>
            <w:tcW w:w="1600" w:type="dxa"/>
            <w:shd w:val="clear" w:color="auto" w:fill="FFFFFF"/>
          </w:tcPr>
          <w:p w:rsidR="00ED5B2E" w:rsidRPr="00791E6E" w:rsidRDefault="00ED2A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2224.94</w:t>
            </w:r>
          </w:p>
        </w:tc>
      </w:tr>
    </w:tbl>
    <w:p w:rsidR="00FF149A" w:rsidRDefault="00FF149A" w:rsidP="00FF149A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</w:p>
    <w:p w:rsidR="00ED5B2E" w:rsidRPr="00791E6E" w:rsidRDefault="00BB1BD8" w:rsidP="00FF149A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FF149A">
        <w:rPr>
          <w:rFonts w:ascii="Arial" w:hAnsi="Arial" w:cs="Arial"/>
          <w:b/>
          <w:sz w:val="24"/>
          <w:szCs w:val="24"/>
        </w:rPr>
        <w:t>Note:</w:t>
      </w:r>
      <w:r w:rsidRPr="00791E6E">
        <w:rPr>
          <w:rFonts w:ascii="Arial" w:hAnsi="Arial" w:cs="Arial"/>
          <w:sz w:val="24"/>
          <w:szCs w:val="24"/>
        </w:rPr>
        <w:t xml:space="preserve"> statistics for TotalCharges were calculated after first converting the column to a numeric data type, since formulas such as AVERAGE cannot compute correctly on text-formatted values.</w:t>
      </w:r>
    </w:p>
    <w:p w:rsidR="00ED5B2E" w:rsidRDefault="00BB1BD8" w:rsidP="00E05CA5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E05CA5">
        <w:rPr>
          <w:rFonts w:ascii="Arial" w:hAnsi="Arial" w:cs="Arial"/>
          <w:b/>
          <w:sz w:val="24"/>
          <w:szCs w:val="24"/>
        </w:rPr>
        <w:t>Key observations:</w:t>
      </w:r>
      <w:r w:rsidRPr="00791E6E">
        <w:rPr>
          <w:rFonts w:ascii="Arial" w:hAnsi="Arial" w:cs="Arial"/>
          <w:sz w:val="24"/>
          <w:szCs w:val="24"/>
        </w:rPr>
        <w:t xml:space="preserve"> </w:t>
      </w:r>
      <w:bookmarkStart w:id="0" w:name="_GoBack"/>
      <w:bookmarkEnd w:id="0"/>
      <w:r w:rsidRPr="00791E6E">
        <w:rPr>
          <w:rFonts w:ascii="Arial" w:hAnsi="Arial" w:cs="Arial"/>
          <w:sz w:val="24"/>
          <w:szCs w:val="24"/>
        </w:rPr>
        <w:t xml:space="preserve">tenure ranges from 0 to 72 months with an average of roughly 32 months, indicating a wide mix of new and long-standing customers. Monthly charges range from $18.25 </w:t>
      </w:r>
      <w:r w:rsidRPr="00791E6E">
        <w:rPr>
          <w:rFonts w:ascii="Arial" w:hAnsi="Arial" w:cs="Arial"/>
          <w:sz w:val="24"/>
          <w:szCs w:val="24"/>
        </w:rPr>
        <w:lastRenderedPageBreak/>
        <w:t>to $118.75, and the gap between the average and median for TotalCharges su</w:t>
      </w:r>
      <w:r w:rsidRPr="00791E6E">
        <w:rPr>
          <w:rFonts w:ascii="Arial" w:hAnsi="Arial" w:cs="Arial"/>
          <w:sz w:val="24"/>
          <w:szCs w:val="24"/>
        </w:rPr>
        <w:t>ggests the distribution is right-skewed, with a smaller group of long-tenured, high-spend customers pulling the average upward.</w:t>
      </w:r>
    </w:p>
    <w:p w:rsidR="00ED2AB8" w:rsidRPr="00ED2AB8" w:rsidRDefault="00ED2AB8" w:rsidP="00E05CA5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ED2AB8">
        <w:rPr>
          <w:rFonts w:ascii="Arial" w:hAnsi="Arial" w:cs="Arial"/>
          <w:b/>
          <w:sz w:val="24"/>
          <w:szCs w:val="24"/>
        </w:rPr>
        <w:t>Note:</w:t>
      </w:r>
      <w:r w:rsidRPr="00ED2AB8">
        <w:rPr>
          <w:rFonts w:ascii="Arial" w:hAnsi="Arial" w:cs="Arial"/>
          <w:sz w:val="24"/>
          <w:szCs w:val="24"/>
        </w:rPr>
        <w:t xml:space="preserve"> the minimum value shown for TotalCharges ($19.00) reflects only the 7,032 rows with valid numeric entries; it excludes the 11 rows with hidden blank values discussed in Section 3.</w:t>
      </w:r>
    </w:p>
    <w:p w:rsidR="00ED5B2E" w:rsidRPr="00E05CA5" w:rsidRDefault="00BB1BD8">
      <w:pPr>
        <w:pStyle w:val="Heading1"/>
        <w:spacing w:before="300" w:after="150"/>
        <w:rPr>
          <w:rFonts w:ascii="Arial" w:hAnsi="Arial" w:cs="Arial"/>
        </w:rPr>
      </w:pPr>
      <w:r w:rsidRPr="00E05CA5">
        <w:rPr>
          <w:rFonts w:ascii="Arial" w:hAnsi="Arial" w:cs="Arial"/>
        </w:rPr>
        <w:t>6. Categorical Field Cardinality</w:t>
      </w:r>
    </w:p>
    <w:p w:rsidR="00ED5B2E" w:rsidRPr="00E05CA5" w:rsidRDefault="00BB1BD8" w:rsidP="00E05CA5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E05CA5">
        <w:rPr>
          <w:rFonts w:ascii="Arial" w:hAnsi="Arial" w:cs="Arial"/>
          <w:sz w:val="24"/>
          <w:szCs w:val="24"/>
        </w:rPr>
        <w:t>Category counts were checked using PivotTables built on each categorical column. Most fields (e</w:t>
      </w:r>
      <w:r w:rsidRPr="00E05CA5">
        <w:rPr>
          <w:rFonts w:ascii="Arial" w:hAnsi="Arial" w:cs="Arial"/>
          <w:sz w:val="24"/>
          <w:szCs w:val="24"/>
        </w:rPr>
        <w:t xml:space="preserve">.g. Partner, Dependents, </w:t>
      </w:r>
      <w:proofErr w:type="spellStart"/>
      <w:r w:rsidRPr="00E05CA5">
        <w:rPr>
          <w:rFonts w:ascii="Arial" w:hAnsi="Arial" w:cs="Arial"/>
          <w:sz w:val="24"/>
          <w:szCs w:val="24"/>
        </w:rPr>
        <w:t>PhoneService</w:t>
      </w:r>
      <w:proofErr w:type="spellEnd"/>
      <w:r w:rsidRPr="00E05CA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5CA5">
        <w:rPr>
          <w:rFonts w:ascii="Arial" w:hAnsi="Arial" w:cs="Arial"/>
          <w:sz w:val="24"/>
          <w:szCs w:val="24"/>
        </w:rPr>
        <w:t>PaperlessBilling</w:t>
      </w:r>
      <w:proofErr w:type="spellEnd"/>
      <w:r w:rsidRPr="00E05CA5">
        <w:rPr>
          <w:rFonts w:ascii="Arial" w:hAnsi="Arial" w:cs="Arial"/>
          <w:sz w:val="24"/>
          <w:szCs w:val="24"/>
        </w:rPr>
        <w:t>) are binary (Yes/No), while service-related fields such as InternetService, Contract, and PaymentMethod have 3-4 categories. For example, Contract was confirmed to contain exactly three categories: Mo</w:t>
      </w:r>
      <w:r w:rsidRPr="00E05CA5">
        <w:rPr>
          <w:rFonts w:ascii="Arial" w:hAnsi="Arial" w:cs="Arial"/>
          <w:sz w:val="24"/>
          <w:szCs w:val="24"/>
        </w:rPr>
        <w:t>nth-to-month, One year, and Two year.</w:t>
      </w:r>
    </w:p>
    <w:p w:rsidR="00ED5B2E" w:rsidRPr="00E05CA5" w:rsidRDefault="00BB1BD8" w:rsidP="00E05CA5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E05CA5">
        <w:rPr>
          <w:rFonts w:ascii="Arial" w:hAnsi="Arial" w:cs="Arial"/>
          <w:sz w:val="24"/>
          <w:szCs w:val="24"/>
        </w:rPr>
        <w:t>This low cardinality makes the dataset well-suited to bar chart and pie chart visualisation without excessive fragmentation.</w:t>
      </w:r>
    </w:p>
    <w:p w:rsidR="00ED5B2E" w:rsidRPr="00E05CA5" w:rsidRDefault="00BB1BD8">
      <w:pPr>
        <w:pStyle w:val="Heading1"/>
        <w:spacing w:before="300" w:after="150"/>
        <w:rPr>
          <w:rFonts w:ascii="Arial" w:hAnsi="Arial" w:cs="Arial"/>
        </w:rPr>
      </w:pPr>
      <w:r w:rsidRPr="00E05CA5">
        <w:rPr>
          <w:rFonts w:ascii="Arial" w:hAnsi="Arial" w:cs="Arial"/>
        </w:rPr>
        <w:t>7. Conclusion</w:t>
      </w:r>
    </w:p>
    <w:p w:rsidR="00ED5B2E" w:rsidRPr="00E05CA5" w:rsidRDefault="00BB1BD8" w:rsidP="00E05CA5">
      <w:pPr>
        <w:spacing w:after="160" w:line="360" w:lineRule="auto"/>
        <w:jc w:val="both"/>
        <w:rPr>
          <w:rFonts w:ascii="Arial" w:hAnsi="Arial" w:cs="Arial"/>
          <w:sz w:val="24"/>
          <w:szCs w:val="24"/>
        </w:rPr>
      </w:pPr>
      <w:r w:rsidRPr="00E05CA5">
        <w:rPr>
          <w:rFonts w:ascii="Arial" w:hAnsi="Arial" w:cs="Arial"/>
          <w:sz w:val="24"/>
          <w:szCs w:val="24"/>
        </w:rPr>
        <w:t>After inspection, the dataset comprises 7,043 rows and 21 columns with no dupli</w:t>
      </w:r>
      <w:r w:rsidRPr="00E05CA5">
        <w:rPr>
          <w:rFonts w:ascii="Arial" w:hAnsi="Arial" w:cs="Arial"/>
          <w:sz w:val="24"/>
          <w:szCs w:val="24"/>
        </w:rPr>
        <w:t>cate records and no missing values beyond the 11 hidden blanks identified in TotalCharges. Once TotalCharges is converted to a numeric type and its blanks addressed, the dataset is fit for exploratory analysis and reporting on customer churn drivers.</w:t>
      </w:r>
    </w:p>
    <w:sectPr w:rsidR="00ED5B2E" w:rsidRPr="00E05C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4D246B"/>
    <w:multiLevelType w:val="hybridMultilevel"/>
    <w:tmpl w:val="BEEE2BFA"/>
    <w:lvl w:ilvl="0" w:tplc="9C865352">
      <w:start w:val="1"/>
      <w:numFmt w:val="bullet"/>
      <w:lvlText w:val="●"/>
      <w:lvlJc w:val="left"/>
      <w:pPr>
        <w:ind w:left="720" w:hanging="360"/>
      </w:pPr>
    </w:lvl>
    <w:lvl w:ilvl="1" w:tplc="C872457C">
      <w:start w:val="1"/>
      <w:numFmt w:val="bullet"/>
      <w:lvlText w:val="○"/>
      <w:lvlJc w:val="left"/>
      <w:pPr>
        <w:ind w:left="1440" w:hanging="360"/>
      </w:pPr>
    </w:lvl>
    <w:lvl w:ilvl="2" w:tplc="F8740CEE">
      <w:start w:val="1"/>
      <w:numFmt w:val="bullet"/>
      <w:lvlText w:val="■"/>
      <w:lvlJc w:val="left"/>
      <w:pPr>
        <w:ind w:left="2160" w:hanging="360"/>
      </w:pPr>
    </w:lvl>
    <w:lvl w:ilvl="3" w:tplc="75D874CE">
      <w:start w:val="1"/>
      <w:numFmt w:val="bullet"/>
      <w:lvlText w:val="●"/>
      <w:lvlJc w:val="left"/>
      <w:pPr>
        <w:ind w:left="2880" w:hanging="360"/>
      </w:pPr>
    </w:lvl>
    <w:lvl w:ilvl="4" w:tplc="5D364010">
      <w:start w:val="1"/>
      <w:numFmt w:val="bullet"/>
      <w:lvlText w:val="○"/>
      <w:lvlJc w:val="left"/>
      <w:pPr>
        <w:ind w:left="3600" w:hanging="360"/>
      </w:pPr>
    </w:lvl>
    <w:lvl w:ilvl="5" w:tplc="0CBE51DE">
      <w:start w:val="1"/>
      <w:numFmt w:val="bullet"/>
      <w:lvlText w:val="■"/>
      <w:lvlJc w:val="left"/>
      <w:pPr>
        <w:ind w:left="4320" w:hanging="360"/>
      </w:pPr>
    </w:lvl>
    <w:lvl w:ilvl="6" w:tplc="385A5A5A">
      <w:start w:val="1"/>
      <w:numFmt w:val="bullet"/>
      <w:lvlText w:val="●"/>
      <w:lvlJc w:val="left"/>
      <w:pPr>
        <w:ind w:left="5040" w:hanging="360"/>
      </w:pPr>
    </w:lvl>
    <w:lvl w:ilvl="7" w:tplc="AFF00C06">
      <w:start w:val="1"/>
      <w:numFmt w:val="bullet"/>
      <w:lvlText w:val="●"/>
      <w:lvlJc w:val="left"/>
      <w:pPr>
        <w:ind w:left="5760" w:hanging="360"/>
      </w:pPr>
    </w:lvl>
    <w:lvl w:ilvl="8" w:tplc="8E3C12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32D8B"/>
    <w:multiLevelType w:val="multilevel"/>
    <w:tmpl w:val="F1D6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B2E"/>
    <w:rsid w:val="0065660D"/>
    <w:rsid w:val="00791E6E"/>
    <w:rsid w:val="00BB1BD8"/>
    <w:rsid w:val="00E05CA5"/>
    <w:rsid w:val="00ED2AB8"/>
    <w:rsid w:val="00ED5B2E"/>
    <w:rsid w:val="00FF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F00BD"/>
  <w15:docId w15:val="{7914E1EA-47C6-4ED9-8CCB-EA98634A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5CA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05C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5C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5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2026-08-06T14:06:00Z</dcterms:created>
  <dcterms:modified xsi:type="dcterms:W3CDTF">2026-08-06T14:06:00Z</dcterms:modified>
</cp:coreProperties>
</file>