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E43"/>
          <w:sz w:val="48"/>
        </w:rPr>
        <w:t>多 Agent 交叉评审调研平台开发全过程报告</w:t>
      </w:r>
    </w:p>
    <w:p>
      <w:pPr>
        <w:jc w:val="center"/>
      </w:pPr>
      <w:r>
        <w:rPr>
          <w:i/>
          <w:color w:val="5A6962"/>
          <w:sz w:val="24"/>
        </w:rPr>
      </w:r>
    </w:p>
    <w:p>
      <w:pPr>
        <w:jc w:val="center"/>
      </w:pPr>
      <w:r>
        <w:rPr>
          <w:color w:val="646E69"/>
          <w:sz w:val="18"/>
        </w:rPr>
        <w:t>从原多 Agent 辩论室到团队方案交叉评审工作台的完整历程</w:t>
      </w:r>
    </w:p>
    <w:p>
      <w:pPr>
        <w:jc w:val="center"/>
      </w:pPr>
      <w:r>
        <w:rPr>
          <w:color w:val="646E69"/>
          <w:sz w:val="18"/>
        </w:rPr>
      </w:r>
    </w:p>
    <w:p>
      <w:pPr>
        <w:spacing w:after="100"/>
      </w:pPr>
      <w:r>
        <w:t>版本：v1.0（当前 main）</w:t>
      </w:r>
    </w:p>
    <w:p>
      <w:pPr>
        <w:spacing w:after="100"/>
      </w:pPr>
      <w:r>
        <w:t>生成日期：2026 年 9 月 2 日</w:t>
      </w:r>
    </w:p>
    <w:p>
      <w:pPr>
        <w:spacing w:after="100"/>
      </w:pPr>
      <w:r>
        <w:t>代码基线：</w:t>
      </w:r>
      <w:r>
        <w:rPr>
          <w:rFonts w:ascii="Consolas" w:hAnsi="Consolas"/>
          <w:color w:val="28644B"/>
          <w:sz w:val="18"/>
        </w:rPr>
        <w:t>7724030</w:t>
      </w:r>
      <w:r>
        <w:t>（</w:t>
      </w:r>
      <w:r>
        <w:rPr>
          <w:rFonts w:ascii="Consolas" w:hAnsi="Consolas"/>
          <w:color w:val="28644B"/>
          <w:sz w:val="18"/>
        </w:rPr>
        <w:t>main</w:t>
      </w:r>
      <w:r>
        <w:t xml:space="preserve"> / </w:t>
      </w:r>
      <w:r>
        <w:rPr>
          <w:rFonts w:ascii="Consolas" w:hAnsi="Consolas"/>
          <w:color w:val="28644B"/>
          <w:sz w:val="18"/>
        </w:rPr>
        <w:t>refactor-review</w:t>
      </w:r>
      <w:r>
        <w:t>）</w:t>
      </w:r>
    </w:p>
    <w:p>
      <w:pPr>
        <w:pStyle w:val="Heading1"/>
        <w:keepNext/>
      </w:pPr>
      <w:r>
        <w:t>目录</w:t>
      </w:r>
    </w:p>
    <w:p>
      <w:pPr>
        <w:spacing w:after="100"/>
      </w:pPr>
      <w:r>
        <w:t>1. 项目概述</w:t>
      </w:r>
    </w:p>
    <w:p>
      <w:pPr>
        <w:spacing w:after="100"/>
      </w:pPr>
      <w:r>
        <w:t>2. 架构演进总览</w:t>
      </w:r>
    </w:p>
    <w:p>
      <w:pPr>
        <w:spacing w:after="100"/>
      </w:pPr>
      <w:r>
        <w:t>3. 第一阶段：原多 Agent 辩论室基线</w:t>
      </w:r>
    </w:p>
    <w:p>
      <w:pPr>
        <w:spacing w:after="100"/>
      </w:pPr>
      <w:r>
        <w:t>4. 第二阶段：评审领域重构</w:t>
      </w:r>
    </w:p>
    <w:p>
      <w:pPr>
        <w:spacing w:after="100"/>
      </w:pPr>
      <w:r>
        <w:t>5. 第三阶段：认证、组织与部署接入</w:t>
      </w:r>
    </w:p>
    <w:p>
      <w:pPr>
        <w:spacing w:after="100"/>
      </w:pPr>
      <w:r>
        <w:t>6. 第四阶段：自研评审编排与证据闭环</w:t>
      </w:r>
    </w:p>
    <w:p>
      <w:pPr>
        <w:spacing w:after="100"/>
      </w:pPr>
      <w:r>
        <w:t>7. 第五阶段：前端工作台完整重设计</w:t>
      </w:r>
    </w:p>
    <w:p>
      <w:pPr>
        <w:spacing w:after="100"/>
      </w:pPr>
      <w:r>
        <w:t>8. 错误与修复汇总</w:t>
      </w:r>
    </w:p>
    <w:p>
      <w:pPr>
        <w:spacing w:after="100"/>
      </w:pPr>
      <w:r>
        <w:t>9. 数据库设计</w:t>
      </w:r>
    </w:p>
    <w:p>
      <w:pPr>
        <w:pStyle w:val="ListNumber"/>
        <w:spacing w:after="40"/>
      </w:pPr>
      <w:r>
        <w:t>文件变更清单与关键代码</w:t>
      </w:r>
    </w:p>
    <w:p>
      <w:pPr>
        <w:pStyle w:val="ListNumber"/>
        <w:spacing w:after="40"/>
      </w:pPr>
      <w:r>
        <w:t>当前架构、验证结果与能力边界</w:t>
      </w:r>
    </w:p>
    <w:p>
      <w:pPr>
        <w:pStyle w:val="ListNumber"/>
        <w:spacing w:after="40"/>
      </w:pPr>
      <w:r>
        <w:t>经验教训与后续优化方向</w:t>
      </w:r>
    </w:p>
    <w:p>
      <w:pPr>
        <w:pStyle w:val="Heading1"/>
        <w:keepNext/>
      </w:pPr>
      <w:r>
        <w:t>一、项目概述</w:t>
      </w:r>
    </w:p>
    <w:p>
      <w:pPr>
        <w:pStyle w:val="Heading2"/>
        <w:keepNext/>
      </w:pPr>
      <w:r>
        <w:t>1.1 项目简介</w:t>
      </w:r>
    </w:p>
    <w:p>
      <w:pPr>
        <w:spacing w:after="100"/>
      </w:pPr>
      <w:r>
        <w:t>多 Agent 交叉评审调研平台面向团队内部的方案评审和调研工作。用户可以输入调研主题，或上传 PDF、DOCX 方案材料；平台由文档解析、收益论证、风险研判、事实核查和汇总评审五个固定 Agent 协作，形成可追溯的 Markdown 评审报告。</w:t>
      </w:r>
    </w:p>
    <w:p>
      <w:pPr>
        <w:spacing w:after="100"/>
      </w:pPr>
      <w:r>
        <w:t>平台的定位是“辅助研究与结构化审阅”，不是自动决策系统。事实核查没有获得可靠链接时必须标记为“待确认”，不会凭空补充来源。</w:t>
      </w:r>
    </w:p>
    <w:p>
      <w:pPr>
        <w:pStyle w:val="Heading2"/>
        <w:keepNext/>
      </w:pPr>
      <w: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968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当前方案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Next.js 16、React 19、TypeScript、Tailwind CSS 4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Python、FastAPI、SQLAlchemy Async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PostgreSQL（Supabase），本地开发可用 SQLite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 邮箱密码、邮箱验证、密码重置；后端换发 HttpOnly JWT Cookie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文件存储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Storage 私有桶；本地开发支持本地目录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实时通信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带鉴权请求头的 SSE `fetch` 流式解析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 兼容的 DeepSeek 客户端，可配置模型和地址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DuckDuckGo Search（`ddgs`）联网检索适配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文档解析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PyPDF2、python-docx；解析放入线程执行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Vercel 前端、Render 后端、Supabase 数据与存储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第二阶段运行时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已提供 LangChain / LangGraph 适配代码，默认仍为自研编排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核心功能</w:t>
      </w:r>
    </w:p>
    <w:p>
      <w:pPr>
        <w:pStyle w:val="ListBullet"/>
        <w:spacing w:after="40"/>
      </w:pPr>
      <w:r>
        <w:t>主题输入或 PDF/DOCX 材料上传</w:t>
      </w:r>
    </w:p>
    <w:p>
      <w:pPr>
        <w:pStyle w:val="ListBullet"/>
        <w:spacing w:after="40"/>
      </w:pPr>
      <w:r>
        <w:t>单任务最多 5 个文件、单文件不超过 20 MB</w:t>
      </w:r>
    </w:p>
    <w:p>
      <w:pPr>
        <w:pStyle w:val="ListBullet"/>
        <w:spacing w:after="40"/>
      </w:pPr>
      <w:r>
        <w:t>1 至 5 轮评审，默认 3 轮</w:t>
      </w:r>
    </w:p>
    <w:p>
      <w:pPr>
        <w:pStyle w:val="ListBullet"/>
        <w:spacing w:after="40"/>
      </w:pPr>
      <w:r>
        <w:t>每轮固定执行“收益论证 → 事实核查 → 风险研判 → 事实核查”</w:t>
      </w:r>
    </w:p>
    <w:p>
      <w:pPr>
        <w:pStyle w:val="ListBullet"/>
        <w:spacing w:after="40"/>
      </w:pPr>
      <w:r>
        <w:t>五个 Agent 的实时活动展示和断线恢复</w:t>
      </w:r>
    </w:p>
    <w:p>
      <w:pPr>
        <w:pStyle w:val="ListBullet"/>
        <w:spacing w:after="40"/>
      </w:pPr>
      <w:r>
        <w:t>证据池保存论据、核查结论、理由和来源链接</w:t>
      </w:r>
    </w:p>
    <w:p>
      <w:pPr>
        <w:pStyle w:val="ListBullet"/>
        <w:spacing w:after="40"/>
      </w:pPr>
      <w:r>
        <w:t>固定五段式 Markdown 报告和下载接口</w:t>
      </w:r>
    </w:p>
    <w:p>
      <w:pPr>
        <w:pStyle w:val="ListBullet"/>
        <w:spacing w:after="40"/>
      </w:pPr>
      <w:r>
        <w:t>邮箱验证、忘记密码、重置密码</w:t>
      </w:r>
    </w:p>
    <w:p>
      <w:pPr>
        <w:pStyle w:val="ListBullet"/>
        <w:spacing w:after="40"/>
      </w:pPr>
      <w:r>
        <w:t>组织 owner 邀请成员，评审任务按组织隔离</w:t>
      </w:r>
    </w:p>
    <w:p>
      <w:pPr>
        <w:pStyle w:val="ListBullet"/>
        <w:spacing w:after="40"/>
      </w:pPr>
      <w:r>
        <w:t>1440×900 桌面基准和移动端抽屉式导航</w:t>
      </w:r>
    </w:p>
    <w:p>
      <w:pPr>
        <w:pStyle w:val="Heading1"/>
        <w:keepNext/>
      </w:pPr>
      <w:r>
        <w:t>二、架构演进总览</w:t>
      </w:r>
    </w:p>
    <w:p>
      <w:pPr>
        <w:spacing w:after="100"/>
      </w:pPr>
      <w:r>
        <w:t>项目先验证了原有多 Agent 对话/辩论产品的可运行性，随后根据团队评审场景完成领域重构。主要变化如下：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87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987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主要形态</w:t>
            </w:r>
          </w:p>
        </w:tc>
        <w:tc>
          <w:tcPr>
            <w:tcW w:type="dxa" w:w="1987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987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变化原因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基线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2026-07-29 至 07-30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 Agent 辩论室、事实核查页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已运行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SSE、鉴权和模型调用基础设施</w:t>
            </w:r>
          </w:p>
        </w:tc>
      </w:tr>
      <w:tr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领域重构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2026-08-26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评审会话、证据池、固定 Agent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删除辩论领域，聚焦方案交叉评审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平台接入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2026-08-27 至 08-28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Auth、Render、Vercel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支持团队账户、云数据库和私有存储</w:t>
            </w:r>
          </w:p>
        </w:tc>
      </w:tr>
      <w:tr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体验完善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2026-08-30 至 08-31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工作台、编排、证据库、系统设置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1987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完成公开预览和 B 端工具化 UI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运行时准备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可切换 LangGraph 运行时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代码已提供，默认关闭</w:t>
            </w:r>
          </w:p>
        </w:tc>
        <w:tc>
          <w:tcPr>
            <w:tcW w:type="dxa" w:w="1987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保持业务 API 与 SSE 契约稳定，分阶段迁移</w:t>
            </w:r>
          </w:p>
        </w:tc>
      </w:tr>
    </w:tbl>
    <w:p>
      <w:pPr>
        <w:spacing w:after="40"/>
      </w:pPr>
    </w:p>
    <w:p>
      <w:pPr>
        <w:spacing w:after="100"/>
      </w:pPr>
      <w:r>
        <w:t>关键提交节点：</w:t>
      </w:r>
    </w:p>
    <w:p>
      <w:pPr>
        <w:pStyle w:val="ListBullet"/>
        <w:spacing w:after="40"/>
      </w:pPr>
      <w:r>
        <w:t>`f5a9fb8`：替换辩论室为评审平台</w:t>
      </w:r>
    </w:p>
    <w:p>
      <w:pPr>
        <w:pStyle w:val="ListBullet"/>
        <w:spacing w:after="40"/>
      </w:pPr>
      <w:r>
        <w:t>`07b102a`：接入 Supabase Auth 会话交换</w:t>
      </w:r>
    </w:p>
    <w:p>
      <w:pPr>
        <w:pStyle w:val="ListBullet"/>
        <w:spacing w:after="40"/>
      </w:pPr>
      <w:r>
        <w:t>`cd9f093`：加固 SSE 鉴权和事件类型</w:t>
      </w:r>
    </w:p>
    <w:p>
      <w:pPr>
        <w:pStyle w:val="ListBullet"/>
        <w:spacing w:after="40"/>
      </w:pPr>
      <w:r>
        <w:t>`fce83a1`：允许未登录用户浏览工作台预览</w:t>
      </w:r>
    </w:p>
    <w:p>
      <w:pPr>
        <w:pStyle w:val="ListBullet"/>
        <w:spacing w:after="40"/>
      </w:pPr>
      <w:r>
        <w:t>`a37fedc`：增加预计耗时、编排和设置能力</w:t>
      </w:r>
    </w:p>
    <w:p>
      <w:pPr>
        <w:pStyle w:val="ListBullet"/>
        <w:spacing w:after="40"/>
      </w:pPr>
      <w:r>
        <w:t>`07b362d`、`e72b2fc`：修复生产 API 地址和 Vercel CORS</w:t>
      </w:r>
    </w:p>
    <w:p>
      <w:pPr>
        <w:pStyle w:val="ListBullet"/>
        <w:spacing w:after="40"/>
      </w:pPr>
      <w:r>
        <w:t>`f65d577`：修复报告完成后 Agent 状态滞留</w:t>
      </w:r>
    </w:p>
    <w:p>
      <w:pPr>
        <w:pStyle w:val="ListBullet"/>
        <w:spacing w:after="40"/>
      </w:pPr>
      <w:r>
        <w:t>`7724030`：加固认证 Cookie 和生产邮件适配</w:t>
      </w:r>
    </w:p>
    <w:p>
      <w:pPr>
        <w:pStyle w:val="Heading1"/>
        <w:keepNext/>
      </w:pPr>
      <w:r>
        <w:t>三、第一阶段：原多 Agent 辩论室基线</w:t>
      </w:r>
    </w:p>
    <w:p>
      <w:pPr>
        <w:pStyle w:val="Heading2"/>
        <w:keepNext/>
      </w:pPr>
      <w:r>
        <w:t>3.1 初始设计</w:t>
      </w:r>
    </w:p>
    <w:p>
      <w:pPr>
        <w:spacing w:after="100"/>
      </w:pPr>
      <w:r>
        <w:t>原项目包含辩论会话、角色配置、辩论模板、评论和事实核查页面。早期实现重点验证：</w:t>
      </w:r>
    </w:p>
    <w:p>
      <w:pPr>
        <w:pStyle w:val="ListBullet"/>
        <w:spacing w:after="40"/>
      </w:pPr>
      <w:r>
        <w:t>FastAPI 接口和异步数据库会话</w:t>
      </w:r>
    </w:p>
    <w:p>
      <w:pPr>
        <w:pStyle w:val="ListBullet"/>
        <w:spacing w:after="40"/>
      </w:pPr>
      <w:r>
        <w:t>JWT 登录态和游客/手机号登录路径</w:t>
      </w:r>
    </w:p>
    <w:p>
      <w:pPr>
        <w:pStyle w:val="ListBullet"/>
        <w:spacing w:after="40"/>
      </w:pPr>
      <w:r>
        <w:t>SSE 或轮询方式的实时输出</w:t>
      </w:r>
    </w:p>
    <w:p>
      <w:pPr>
        <w:pStyle w:val="ListBullet"/>
        <w:spacing w:after="40"/>
      </w:pPr>
      <w:r>
        <w:t>PDF、Word 和文本材料解析</w:t>
      </w:r>
    </w:p>
    <w:p>
      <w:pPr>
        <w:pStyle w:val="ListBullet"/>
        <w:spacing w:after="40"/>
      </w:pPr>
      <w:r>
        <w:t>联网搜索注入模型提示词</w:t>
      </w:r>
    </w:p>
    <w:p>
      <w:pPr>
        <w:pStyle w:val="ListBullet"/>
        <w:spacing w:after="40"/>
      </w:pPr>
      <w:r>
        <w:t>Next.js 多页面交互</w:t>
      </w:r>
    </w:p>
    <w:p>
      <w:pPr>
        <w:pStyle w:val="Heading2"/>
        <w:keepNext/>
      </w:pPr>
      <w:r>
        <w:t>3.2 基线暴露的问题</w:t>
      </w:r>
    </w:p>
    <w:p>
      <w:pPr>
        <w:pStyle w:val="ListBullet"/>
        <w:spacing w:after="40"/>
      </w:pPr>
      <w:r>
        <w:t>领域模型围绕辩手、立场、追问和评论展开，与方案评审目标不一致</w:t>
      </w:r>
    </w:p>
    <w:p>
      <w:pPr>
        <w:pStyle w:val="ListBullet"/>
        <w:spacing w:after="40"/>
      </w:pPr>
      <w:r>
        <w:t>前端页面存在辩论席位、发言时间线等不适用的产品概念</w:t>
      </w:r>
    </w:p>
    <w:p>
      <w:pPr>
        <w:pStyle w:val="ListBullet"/>
        <w:spacing w:after="40"/>
      </w:pPr>
      <w:r>
        <w:t>旧数据库字段和接口会让评审数据边界不清晰</w:t>
      </w:r>
    </w:p>
    <w:p>
      <w:pPr>
        <w:pStyle w:val="ListBullet"/>
        <w:spacing w:after="40"/>
      </w:pPr>
      <w:r>
        <w:t>早期多种登录方案并存，生产部署时容易误用本地 API 地址</w:t>
      </w:r>
    </w:p>
    <w:p>
      <w:pPr>
        <w:pStyle w:val="ListBullet"/>
        <w:spacing w:after="40"/>
      </w:pPr>
      <w:r>
        <w:t>SSE 事件依赖内存状态时，刷新页面后无法可靠恢复 Agent 状态</w:t>
      </w:r>
    </w:p>
    <w:p>
      <w:pPr>
        <w:spacing w:after="100"/>
      </w:pPr>
      <w:r>
        <w:t>这些问题促成了后续“新评审数据库 + 新路由 + 新工作台”的整体重构，而不是在旧辩论模型上继续叠加功能。</w:t>
      </w:r>
    </w:p>
    <w:p>
      <w:pPr>
        <w:pStyle w:val="Heading1"/>
        <w:keepNext/>
      </w:pPr>
      <w:r>
        <w:t>四、第二阶段：评审领域重构</w:t>
      </w:r>
    </w:p>
    <w:p>
      <w:pPr>
        <w:pStyle w:val="Heading2"/>
        <w:keepNext/>
      </w:pPr>
      <w:r>
        <w:t>4.1 删除范围</w:t>
      </w:r>
    </w:p>
    <w:p>
      <w:pPr>
        <w:spacing w:after="100"/>
      </w:pPr>
      <w:r>
        <w:t>删除了旧辩论路由、服务、角色、Prompt、评论组件、辩论页面、旧 CLI 和重复的根目录编排实现。历史提交仍保留在 Git 历史中，但当前运行代码不再提供辩论业务接口。</w:t>
      </w:r>
    </w:p>
    <w:p>
      <w:pPr>
        <w:pStyle w:val="Heading2"/>
        <w:keepNext/>
      </w:pPr>
      <w:r>
        <w:t>4.2 新的五 Agent 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文档解析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主题、PDF/DOCX 提取文本、初步检索资料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核心观点、指标、约束和摘要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收益论证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文档摘要、主题、轮次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收益和有利条件论据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风险研判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文档摘要、主题、收益输出、轮次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风险、缺陷和落地约束论据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事实核查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每条论据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`verified`、`contradicted` 或 `uncertain`，绑定来源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汇总评审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已持久化输出和证据池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固定五段式 Markdown 报告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评审顺序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主题/文档 → 文档解析 →</w:t>
        <w:br/>
        <w:t xml:space="preserve">  第 1 轮：收益论证 → 核查 → 风险研判 → 核查 →</w:t>
        <w:br/>
        <w:t xml:space="preserve">  第 2 轮：收益论证 → 核查 → 风险研判 → 核查 → … →</w:t>
        <w:br/>
        <w:t>汇总评审 → 报告</w:t>
      </w:r>
    </w:p>
    <w:p>
      <w:pPr>
        <w:spacing w:after="100"/>
      </w:pPr>
      <w:r>
        <w:t>每个节点输出都经过结构化 JSON 校验；校验失败会自动重试一次，仍失败则记录 Trace 和阶段错误。</w:t>
      </w:r>
    </w:p>
    <w:p>
      <w:pPr>
        <w:pStyle w:val="Heading1"/>
        <w:keepNext/>
      </w:pPr>
      <w:r>
        <w:t>五、第三阶段：认证、组织与部署接入</w:t>
      </w:r>
    </w:p>
    <w:p>
      <w:pPr>
        <w:pStyle w:val="Heading2"/>
        <w:keepNext/>
      </w:pPr>
      <w:r>
        <w:t>5.1 认证流程</w:t>
      </w:r>
    </w:p>
    <w:p>
      <w:pPr>
        <w:spacing w:after="100"/>
      </w:pPr>
      <w:r>
        <w:t xml:space="preserve">当前生产路径由 Supabase Auth 管理邮箱注册、邮箱验证和密码重置。前端获得 Supabase Session 后调用 </w:t>
      </w:r>
      <w:r>
        <w:rPr>
          <w:rFonts w:ascii="Consolas" w:hAnsi="Consolas"/>
          <w:color w:val="28644B"/>
          <w:sz w:val="18"/>
        </w:rPr>
        <w:t>/api/auth/supabase/exchange</w:t>
      </w:r>
      <w:r>
        <w:t>，后端校验远端用户并换发自己的 HttpOnly JWT Cookie。评审 API 仍由后端统一鉴权，避免将服务密钥暴露给浏览器。</w:t>
      </w:r>
    </w:p>
    <w:p>
      <w:pPr>
        <w:pStyle w:val="Heading2"/>
        <w:keepNext/>
      </w:pPr>
      <w:r>
        <w:t>5.2 组织权限</w:t>
      </w:r>
    </w:p>
    <w:p>
      <w:pPr>
        <w:pStyle w:val="ListBullet"/>
        <w:spacing w:after="40"/>
      </w:pPr>
      <w:r>
        <w:t>首个注册用户创建组织并成为 owner</w:t>
      </w:r>
    </w:p>
    <w:p>
      <w:pPr>
        <w:pStyle w:val="ListBullet"/>
        <w:spacing w:after="40"/>
      </w:pPr>
      <w:r>
        <w:t>owner 可发送邀请、查看成员和移除普通成员</w:t>
      </w:r>
    </w:p>
    <w:p>
      <w:pPr>
        <w:pStyle w:val="ListBullet"/>
        <w:spacing w:after="40"/>
      </w:pPr>
      <w:r>
        <w:t>评审查询必须带组织成员关系</w:t>
      </w:r>
    </w:p>
    <w:p>
      <w:pPr>
        <w:pStyle w:val="ListBullet"/>
        <w:spacing w:after="40"/>
      </w:pPr>
      <w:r>
        <w:t>跨组织资源统一返回 404</w:t>
      </w:r>
    </w:p>
    <w:p>
      <w:pPr>
        <w:pStyle w:val="ListBullet"/>
        <w:spacing w:after="40"/>
      </w:pPr>
      <w:r>
        <w:t>评审创建者或组织 owner 可删除评审</w:t>
      </w:r>
    </w:p>
    <w:p>
      <w:pPr>
        <w:pStyle w:val="ListBullet"/>
        <w:spacing w:after="40"/>
      </w:pPr>
      <w:r>
        <w:t>只有创建者或 owner 可处理 LangGraph 人工复核节点</w:t>
      </w:r>
    </w:p>
    <w:p>
      <w:pPr>
        <w:pStyle w:val="Heading2"/>
        <w:keepNext/>
      </w:pPr>
      <w:r>
        <w:t>5.3 部署拓扑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浏览器 → Vercel Next.js 前端</w:t>
        <w:br/>
        <w:t xml:space="preserve">             │ HTTPS + credentials + CORS</w:t>
        <w:br/>
        <w:t xml:space="preserve">             ▼</w:t>
        <w:br/>
        <w:t xml:space="preserve">       Render FastAPI 后端</w:t>
        <w:br/>
        <w:t xml:space="preserve">          ├─ Supabase PostgreSQL</w:t>
        <w:br/>
        <w:t xml:space="preserve">          ├─ Supabase Auth</w:t>
        <w:br/>
        <w:t xml:space="preserve">          ├─ Supabase 私有 Storage</w:t>
        <w:br/>
        <w:t xml:space="preserve">          ├─ DeepSeek OpenAI 兼容接口</w:t>
        <w:br/>
        <w:t xml:space="preserve">          └─ DuckDuckGo Search</w:t>
      </w:r>
    </w:p>
    <w:p>
      <w:pPr>
        <w:spacing w:after="100"/>
      </w:pPr>
      <w:r>
        <w:t>生产密钥通过 Render/Vercel 环境变量注入；</w:t>
      </w:r>
      <w:r>
        <w:rPr>
          <w:rFonts w:ascii="Consolas" w:hAnsi="Consolas"/>
          <w:color w:val="28644B"/>
          <w:sz w:val="18"/>
        </w:rPr>
        <w:t>SUPABASE_SERVICE_ROLE_KEY</w:t>
      </w:r>
      <w:r>
        <w:t xml:space="preserve"> 只允许出现在后端环境，不进入前端构建。</w:t>
      </w:r>
    </w:p>
    <w:p>
      <w:pPr>
        <w:pStyle w:val="Heading1"/>
        <w:keepNext/>
      </w:pPr>
      <w:r>
        <w:t>六、第四阶段：自研评审编排与证据闭环</w:t>
      </w:r>
    </w:p>
    <w:p>
      <w:pPr>
        <w:pStyle w:val="Heading2"/>
        <w:keepNext/>
      </w:pPr>
      <w:r>
        <w:t>6.1 文档处理</w:t>
      </w:r>
    </w:p>
    <w:p>
      <w:pPr>
        <w:spacing w:after="100"/>
      </w:pPr>
      <w:r>
        <w:t>上传接口先限制文件名、格式、大小和 PDF/DOCX 文件签名，再在线程中执行文本提取。扫描件没有 OCR 能力时返回明确错误。无文档时，文档解析 Agent 基于主题调用搜索，并使用相关性过滤避免把无关结果送入模型。</w:t>
      </w:r>
    </w:p>
    <w:p>
      <w:pPr>
        <w:pStyle w:val="Heading2"/>
        <w:keepNext/>
      </w:pPr>
      <w:r>
        <w:t>6.2 证据持久化</w:t>
      </w:r>
    </w:p>
    <w:p>
      <w:pPr>
        <w:spacing w:after="100"/>
      </w:pPr>
      <w:r>
        <w:t>事实核查对每条论据单独检索：</w:t>
      </w:r>
    </w:p>
    <w:p>
      <w:pPr>
        <w:spacing w:after="100"/>
      </w:pPr>
      <w:r>
        <w:t>1. 写入“正在核查”事件</w:t>
      </w:r>
    </w:p>
    <w:p>
      <w:pPr>
        <w:spacing w:after="100"/>
      </w:pPr>
      <w:r>
        <w:t>2. 调用现有搜索工具</w:t>
      </w:r>
    </w:p>
    <w:p>
      <w:pPr>
        <w:spacing w:after="100"/>
      </w:pPr>
      <w:r>
        <w:t>3. 过滤无效 URL</w:t>
      </w:r>
    </w:p>
    <w:p>
      <w:pPr>
        <w:spacing w:after="100"/>
      </w:pPr>
      <w:r>
        <w:t>4. 生成核查结论和理由</w:t>
      </w:r>
    </w:p>
    <w:p>
      <w:pPr>
        <w:spacing w:after="100"/>
      </w:pPr>
      <w:r>
        <w:t xml:space="preserve">5. 写入 </w:t>
      </w:r>
      <w:r>
        <w:rPr>
          <w:rFonts w:ascii="Consolas" w:hAnsi="Consolas"/>
          <w:color w:val="28644B"/>
          <w:sz w:val="18"/>
        </w:rPr>
        <w:t>evidence_pool</w:t>
      </w:r>
      <w:r>
        <w:t xml:space="preserve"> 与 </w:t>
      </w:r>
      <w:r>
        <w:rPr>
          <w:rFonts w:ascii="Consolas" w:hAnsi="Consolas"/>
          <w:color w:val="28644B"/>
          <w:sz w:val="18"/>
        </w:rPr>
        <w:t>evidence_sources</w:t>
      </w:r>
      <w:r/>
    </w:p>
    <w:p>
      <w:pPr>
        <w:spacing w:after="100"/>
      </w:pPr>
      <w:r>
        <w:t>6. 先提交数据库，再广播 SSE 事件</w:t>
      </w:r>
    </w:p>
    <w:p>
      <w:pPr>
        <w:spacing w:after="100"/>
      </w:pPr>
      <w:r>
        <w:t xml:space="preserve">没有可靠来源的论据进入 </w:t>
      </w:r>
      <w:r>
        <w:rPr>
          <w:rFonts w:ascii="Consolas" w:hAnsi="Consolas"/>
          <w:color w:val="28644B"/>
          <w:sz w:val="18"/>
        </w:rPr>
        <w:t>uncertain</w:t>
      </w:r>
      <w:r>
        <w:t>，报告中进入“待确认不确定性点”。</w:t>
      </w:r>
    </w:p>
    <w:p>
      <w:pPr>
        <w:pStyle w:val="Heading2"/>
        <w:keepNext/>
      </w:pPr>
      <w:r>
        <w:t>6.3 SSE 事件契约</w:t>
      </w:r>
    </w:p>
    <w:p>
      <w:pPr>
        <w:spacing w:after="100"/>
      </w:pPr>
      <w:r>
        <w:t>固定事件类型为：</w:t>
      </w:r>
      <w:r>
        <w:rPr>
          <w:rFonts w:ascii="Consolas" w:hAnsi="Consolas"/>
          <w:color w:val="28644B"/>
          <w:sz w:val="18"/>
        </w:rPr>
        <w:t>session_status</w:t>
      </w:r>
      <w:r>
        <w:t>、</w:t>
      </w:r>
      <w:r>
        <w:rPr>
          <w:rFonts w:ascii="Consolas" w:hAnsi="Consolas"/>
          <w:color w:val="28644B"/>
          <w:sz w:val="18"/>
        </w:rPr>
        <w:t>document_status</w:t>
      </w:r>
      <w:r>
        <w:t>、</w:t>
      </w:r>
      <w:r>
        <w:rPr>
          <w:rFonts w:ascii="Consolas" w:hAnsi="Consolas"/>
          <w:color w:val="28644B"/>
          <w:sz w:val="18"/>
        </w:rPr>
        <w:t>agent_start</w:t>
      </w:r>
      <w:r>
        <w:t>、</w:t>
      </w:r>
      <w:r>
        <w:rPr>
          <w:rFonts w:ascii="Consolas" w:hAnsi="Consolas"/>
          <w:color w:val="28644B"/>
          <w:sz w:val="18"/>
        </w:rPr>
        <w:t>agent_chunk</w:t>
      </w:r>
      <w:r>
        <w:t>、</w:t>
      </w:r>
      <w:r>
        <w:rPr>
          <w:rFonts w:ascii="Consolas" w:hAnsi="Consolas"/>
          <w:color w:val="28644B"/>
          <w:sz w:val="18"/>
        </w:rPr>
        <w:t>agent_result</w:t>
      </w:r>
      <w:r>
        <w:t>、</w:t>
      </w:r>
      <w:r>
        <w:rPr>
          <w:rFonts w:ascii="Consolas" w:hAnsi="Consolas"/>
          <w:color w:val="28644B"/>
          <w:sz w:val="18"/>
        </w:rPr>
        <w:t>evidence_upsert</w:t>
      </w:r>
      <w:r>
        <w:t>、</w:t>
      </w:r>
      <w:r>
        <w:rPr>
          <w:rFonts w:ascii="Consolas" w:hAnsi="Consolas"/>
          <w:color w:val="28644B"/>
          <w:sz w:val="18"/>
        </w:rPr>
        <w:t>round_complete</w:t>
      </w:r>
      <w:r>
        <w:t>、</w:t>
      </w:r>
      <w:r>
        <w:rPr>
          <w:rFonts w:ascii="Consolas" w:hAnsi="Consolas"/>
          <w:color w:val="28644B"/>
          <w:sz w:val="18"/>
        </w:rPr>
        <w:t>report_ready</w:t>
      </w:r>
      <w:r>
        <w:t>、</w:t>
      </w:r>
      <w:r>
        <w:rPr>
          <w:rFonts w:ascii="Consolas" w:hAnsi="Consolas"/>
          <w:color w:val="28644B"/>
          <w:sz w:val="18"/>
        </w:rPr>
        <w:t>error</w:t>
      </w:r>
      <w:r>
        <w:t>、</w:t>
      </w:r>
      <w:r>
        <w:rPr>
          <w:rFonts w:ascii="Consolas" w:hAnsi="Consolas"/>
          <w:color w:val="28644B"/>
          <w:sz w:val="18"/>
        </w:rPr>
        <w:t>done</w:t>
      </w:r>
      <w:r>
        <w:t>。</w:t>
      </w:r>
    </w:p>
    <w:p>
      <w:pPr>
        <w:spacing w:after="100"/>
      </w:pPr>
      <w:r>
        <w:t xml:space="preserve">每条事件写入 </w:t>
      </w:r>
      <w:r>
        <w:rPr>
          <w:rFonts w:ascii="Consolas" w:hAnsi="Consolas"/>
          <w:color w:val="28644B"/>
          <w:sz w:val="18"/>
        </w:rPr>
        <w:t>review_events</w:t>
      </w:r>
      <w:r>
        <w:t xml:space="preserve">，带单调递增 </w:t>
      </w:r>
      <w:r>
        <w:rPr>
          <w:rFonts w:ascii="Consolas" w:hAnsi="Consolas"/>
          <w:color w:val="28644B"/>
          <w:sz w:val="18"/>
        </w:rPr>
        <w:t>sequence</w:t>
      </w:r>
      <w:r>
        <w:t xml:space="preserve">。前端通过 </w:t>
      </w:r>
      <w:r>
        <w:rPr>
          <w:rFonts w:ascii="Consolas" w:hAnsi="Consolas"/>
          <w:color w:val="28644B"/>
          <w:sz w:val="18"/>
        </w:rPr>
        <w:t>Last-Event-ID</w:t>
      </w:r>
      <w:r>
        <w:t xml:space="preserve"> 请求未接收事件，服务重启后的未完成任务标记为 </w:t>
      </w:r>
      <w:r>
        <w:rPr>
          <w:rFonts w:ascii="Consolas" w:hAnsi="Consolas"/>
          <w:color w:val="28644B"/>
          <w:sz w:val="18"/>
        </w:rPr>
        <w:t>interrupted</w:t>
      </w:r>
      <w:r>
        <w:t>，允许重新执行。</w:t>
      </w:r>
    </w:p>
    <w:p>
      <w:pPr>
        <w:pStyle w:val="Heading2"/>
        <w:keepNext/>
      </w:pPr>
      <w:r>
        <w:t>6.4 报告结构</w:t>
      </w:r>
    </w:p>
    <w:p>
      <w:pPr>
        <w:spacing w:after="100"/>
      </w:pPr>
      <w:r>
        <w:t>报告必须严格按以下顺序生成：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## 方案概述</w:t>
        <w:br/>
        <w:t>## 收益清单</w:t>
        <w:br/>
        <w:t>## 风险与隐患清单</w:t>
        <w:br/>
        <w:t>## 待确认不确定性点</w:t>
        <w:br/>
        <w:t>## 参考证据来源列表</w:t>
      </w:r>
    </w:p>
    <w:p>
      <w:pPr>
        <w:spacing w:after="100"/>
      </w:pPr>
      <w:r>
        <w:t>汇总 Agent 只读取已持久化的 Agent 输出和证据，不直接相信未落库的临时文本。</w:t>
      </w:r>
    </w:p>
    <w:p>
      <w:pPr>
        <w:pStyle w:val="Heading1"/>
        <w:keepNext/>
      </w:pPr>
      <w:r>
        <w:t>七、第五阶段：前端工作台完整重设计</w:t>
      </w:r>
    </w:p>
    <w:p>
      <w:pPr>
        <w:pStyle w:val="Heading2"/>
        <w:keepNext/>
      </w:pPr>
      <w:r>
        <w:t>7.1 页面结构</w:t>
      </w:r>
    </w:p>
    <w:p>
      <w:pPr>
        <w:pStyle w:val="ListBullet"/>
        <w:spacing w:after="40"/>
      </w:pPr>
      <w:r>
        <w:t>左侧：组织工作区、评审历史、新建评审入口</w:t>
      </w:r>
    </w:p>
    <w:p>
      <w:pPr>
        <w:pStyle w:val="ListBullet"/>
        <w:spacing w:after="40"/>
      </w:pPr>
      <w:r>
        <w:t>顶部：面包屑、连接状态、帮助和登录/新建按钮</w:t>
      </w:r>
    </w:p>
    <w:p>
      <w:pPr>
        <w:pStyle w:val="ListBullet"/>
        <w:spacing w:after="40"/>
      </w:pPr>
      <w:r>
        <w:t>输入区：主题、多轮次选择、PDF/DOCX 队列和启动按钮</w:t>
      </w:r>
    </w:p>
    <w:p>
      <w:pPr>
        <w:pStyle w:val="ListBullet"/>
        <w:spacing w:after="40"/>
      </w:pPr>
      <w:r>
        <w:t>活动区：五个 Agent 卡片、流式文本和完成状态</w:t>
      </w:r>
    </w:p>
    <w:p>
      <w:pPr>
        <w:pStyle w:val="ListBullet"/>
        <w:spacing w:after="40"/>
      </w:pPr>
      <w:r>
        <w:t>证据区：论据核查状态、来源展开、外部链接</w:t>
      </w:r>
    </w:p>
    <w:p>
      <w:pPr>
        <w:pStyle w:val="ListBullet"/>
        <w:spacing w:after="40"/>
      </w:pPr>
      <w:r>
        <w:t>报告区：Markdown 预览、下载和删除操作</w:t>
      </w:r>
    </w:p>
    <w:p>
      <w:pPr>
        <w:pStyle w:val="ListBullet"/>
        <w:spacing w:after="40"/>
      </w:pPr>
      <w:r>
        <w:t>二级页面：Agent 编排、证据库、系统设置</w:t>
      </w:r>
    </w:p>
    <w:p>
      <w:pPr>
        <w:pStyle w:val="Heading2"/>
        <w:keepNext/>
      </w:pPr>
      <w:r>
        <w:t>7.2 视觉与交互</w:t>
      </w:r>
    </w:p>
    <w:p>
      <w:pPr>
        <w:spacing w:after="100"/>
      </w:pPr>
      <w:r>
        <w:t>前端采用冷白/浅绿色背景、细边框、毛玻璃面板、6 至 10px 圆角和单一绿色强调色。页面支持未登录预览，但上传、启动、查看组织数据和下载报告都要求登录。</w:t>
      </w:r>
    </w:p>
    <w:p>
      <w:pPr>
        <w:spacing w:after="100"/>
      </w:pPr>
      <w:r>
        <w:t>已处理的交互状态包括：空状态、上传格式错误、20 MB 限制、按钮禁用、加载骨架、SSE 重连、模型失败、解析失败、人工复核和移动端抽屉导航。</w:t>
      </w:r>
    </w:p>
    <w:p>
      <w:pPr>
        <w:pStyle w:val="Heading2"/>
        <w:keepNext/>
      </w:pPr>
      <w:r>
        <w:t>7.3 示例材料</w:t>
      </w:r>
    </w:p>
    <w:p>
      <w:pPr>
        <w:spacing w:after="100"/>
      </w:pPr>
      <w:r>
        <w:t>当前内置三个快速开始主题，用于演示而不是限制审查范围：</w:t>
      </w:r>
    </w:p>
    <w:p>
      <w:pPr>
        <w:pStyle w:val="ListBullet"/>
        <w:spacing w:after="40"/>
      </w:pPr>
      <w:r>
        <w:t>企业知识库升级</w:t>
      </w:r>
    </w:p>
    <w:p>
      <w:pPr>
        <w:pStyle w:val="ListBullet"/>
        <w:spacing w:after="40"/>
      </w:pPr>
      <w:r>
        <w:t>客服自动化项目</w:t>
      </w:r>
    </w:p>
    <w:p>
      <w:pPr>
        <w:pStyle w:val="ListBullet"/>
        <w:spacing w:after="40"/>
      </w:pPr>
      <w:r>
        <w:t>数据平台整合</w:t>
      </w:r>
    </w:p>
    <w:p>
      <w:pPr>
        <w:spacing w:after="100"/>
      </w:pPr>
      <w:r>
        <w:t>实际可审查对象包括技术方案、立项材料、产品规划、采购方案、数据治理、AI 应用、市场调研、合规安全和实施计划等，只要用户提供主题或 PDF/DOCX 材料即可。</w:t>
      </w:r>
    </w:p>
    <w:p>
      <w:pPr>
        <w:pStyle w:val="Heading1"/>
        <w:keepNext/>
      </w:pPr>
      <w:r>
        <w:t>八、错误与修复汇总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修复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主题检索返回无关内容导致解析失败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搜索服务偶发返回不相关结果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增加主题相关性过滤和空结果兜底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模型返回非标准 JSON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模型输出存在 Markdown 或字段别名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增加一次重试、结果归一化和严格校验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汇总模型失败导致整场评审失败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报告阶段缺少可靠兜底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使用持久化输出和证据生成报告兜底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生产登录显示 `Failed to fetch`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Vercel 构建缺少 API 地址时请求本机 localhost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Render API 生产 fallback 和中文连接错误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Vercel 请求被 CORS 拒绝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预览域名包含分支别名和部署别名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增加受限的 Vercel 域名匹配，同时保留 FRONTEND_URL 白名单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报告完成后两个 Agent 仍显示处理中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事实核查和汇总没有完整完成事件/持久化输出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 `agent_result`，前端终态以持久化状态为准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用户误走本地密码登录可能 500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Supabase profile 的 `password_hash` 为空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登录前显式检查空密码哈希并返回统一凭据错误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记住我有效期与 Cookie 不一致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JWT 和 Cookie 使用了不同生命周期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`remember_me` 同步 Cookie 的 `Max-Age`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组织邀请邮件静默丢失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`EMAIL_PROVIDER=supabase` 没有后端邮件实现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Render 改用 Resend，未知 provider 显式报错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九、数据库设计</w:t>
      </w:r>
    </w:p>
    <w:p>
      <w:pPr>
        <w:pStyle w:val="Heading2"/>
        <w:keepNext/>
      </w:pPr>
      <w:r>
        <w:t>9.1 当前表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968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`profiles`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平台用户和验证状态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`organizations`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组织工作区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`organization_members`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用户与组织的角色关系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`organization_invites`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72 小时有效的一次性邀请哈希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`email_tokens`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小时验证令牌和密码重置令牌哈希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`review_sessions`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评审主题、轮次、阶段、状态和序列计数器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`review_documents`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原文件元数据、摘要文本和存储路径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`review_outputs`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 Agent 的结构化输出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`review_events`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可回放 SSE 事件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`evidence_pool`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论据、核查结论和理由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`evidence_sources`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证据来源标题、URL、摘要和检索时间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`review_reports`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 Markdown 报告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`review_traces`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节点耗时、Token 估算、模型和错误</w:t>
            </w:r>
          </w:p>
        </w:tc>
      </w:tr>
      <w:tr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`rate_limit_buckets`</w:t>
            </w:r>
          </w:p>
        </w:tc>
        <w:tc>
          <w:tcPr>
            <w:tcW w:type="dxa" w:w="4968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PostgreSQL 共享限流计数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迁移策略</w:t>
      </w:r>
    </w:p>
    <w:p>
      <w:pPr>
        <w:spacing w:after="100"/>
      </w:pPr>
      <w:r>
        <w:t>新数据库使用 Alembic 初始迁移，不迁移旧辩论数据。当前迁移链为：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0001_review_platform</w:t>
        <w:br/>
        <w:t xml:space="preserve">  → 0002_review_sequences_tokens</w:t>
        <w:br/>
        <w:t xml:space="preserve">  → 0003_rate_limit_bucket</w:t>
        <w:br/>
        <w:t xml:space="preserve">  → 0004_supabase_auth</w:t>
      </w:r>
    </w:p>
    <w:p>
      <w:pPr>
        <w:spacing w:after="100"/>
      </w:pPr>
      <w:r>
        <w:t xml:space="preserve">本地开发可以由 </w:t>
      </w:r>
      <w:r>
        <w:rPr>
          <w:rFonts w:ascii="Consolas" w:hAnsi="Consolas"/>
          <w:color w:val="28644B"/>
          <w:sz w:val="18"/>
        </w:rPr>
        <w:t>create_all</w:t>
      </w:r>
      <w:r>
        <w:t xml:space="preserve"> 创建表；生产由容器启动命令执行 </w:t>
      </w:r>
      <w:r>
        <w:rPr>
          <w:rFonts w:ascii="Consolas" w:hAnsi="Consolas"/>
          <w:color w:val="28644B"/>
          <w:sz w:val="18"/>
        </w:rPr>
        <w:t>alembic upgrade head</w:t>
      </w:r>
      <w:r>
        <w:t>。</w:t>
      </w:r>
    </w:p>
    <w:p>
      <w:pPr>
        <w:pStyle w:val="Heading1"/>
        <w:keepNext/>
      </w:pPr>
      <w:r>
        <w:t>十、文件变更清单与关键代码</w:t>
      </w:r>
    </w:p>
    <w:p>
      <w:pPr>
        <w:pStyle w:val="Heading2"/>
        <w:keepNext/>
      </w:pPr>
      <w:r>
        <w:t>10.1 删除/替换的领域文件</w:t>
      </w:r>
    </w:p>
    <w:p>
      <w:pPr>
        <w:pStyle w:val="ListBullet"/>
        <w:spacing w:after="40"/>
      </w:pPr>
      <w:r>
        <w:t>`backend/app/routers/debates.py`</w:t>
      </w:r>
    </w:p>
    <w:p>
      <w:pPr>
        <w:pStyle w:val="ListBullet"/>
        <w:spacing w:after="40"/>
      </w:pPr>
      <w:r>
        <w:t>`backend/app/routers/templates.py`</w:t>
      </w:r>
    </w:p>
    <w:p>
      <w:pPr>
        <w:pStyle w:val="ListBullet"/>
        <w:spacing w:after="40"/>
      </w:pPr>
      <w:r>
        <w:t>`backend/app/routers/comments.py`</w:t>
      </w:r>
    </w:p>
    <w:p>
      <w:pPr>
        <w:pStyle w:val="ListBullet"/>
        <w:spacing w:after="40"/>
      </w:pPr>
      <w:r>
        <w:t>`backend/app/routers/fact_check.py`</w:t>
      </w:r>
    </w:p>
    <w:p>
      <w:pPr>
        <w:pStyle w:val="ListBullet"/>
        <w:spacing w:after="40"/>
      </w:pPr>
      <w:r>
        <w:t>`backend/app/services/debate_service.py`</w:t>
      </w:r>
    </w:p>
    <w:p>
      <w:pPr>
        <w:pStyle w:val="ListBullet"/>
        <w:spacing w:after="40"/>
      </w:pPr>
      <w:r>
        <w:t>`backend/app/services/fact_check_service.py`</w:t>
      </w:r>
    </w:p>
    <w:p>
      <w:pPr>
        <w:pStyle w:val="ListBullet"/>
        <w:spacing w:after="40"/>
      </w:pPr>
      <w:r>
        <w:t>`backend/src/` 下旧角色、Prompt、编排器和 LLM 实现</w:t>
      </w:r>
    </w:p>
    <w:p>
      <w:pPr>
        <w:pStyle w:val="ListBullet"/>
        <w:spacing w:after="40"/>
      </w:pPr>
      <w:r>
        <w:t>`frontend/src/app/create/`、`dashboard/`、`debate/[id]/`、`fact-check/`</w:t>
      </w:r>
    </w:p>
    <w:p>
      <w:pPr>
        <w:pStyle w:val="ListBullet"/>
        <w:spacing w:after="40"/>
      </w:pPr>
      <w:r>
        <w:t>根目录旧 CLI、WebUI、启动脚本和旧历史 JSON</w:t>
      </w:r>
    </w:p>
    <w:p>
      <w:pPr>
        <w:pStyle w:val="Heading2"/>
        <w:keepNext/>
      </w:pPr>
      <w:r>
        <w:t>10.2 新增/重写的核心文件</w:t>
      </w:r>
    </w:p>
    <w:p>
      <w:pPr>
        <w:pStyle w:val="ListBullet"/>
        <w:spacing w:after="40"/>
      </w:pPr>
      <w:r>
        <w:t>`backend/app/routers/reviews.py`</w:t>
      </w:r>
    </w:p>
    <w:p>
      <w:pPr>
        <w:pStyle w:val="ListBullet"/>
        <w:spacing w:after="40"/>
      </w:pPr>
      <w:r>
        <w:t>`backend/app/services/review_service.py`</w:t>
      </w:r>
    </w:p>
    <w:p>
      <w:pPr>
        <w:pStyle w:val="ListBullet"/>
        <w:spacing w:after="40"/>
      </w:pPr>
      <w:r>
        <w:t>`backend/app/services/document_service.py`</w:t>
      </w:r>
    </w:p>
    <w:p>
      <w:pPr>
        <w:pStyle w:val="ListBullet"/>
        <w:spacing w:after="40"/>
      </w:pPr>
      <w:r>
        <w:t>`backend/app/services/storage_service.py`</w:t>
      </w:r>
    </w:p>
    <w:p>
      <w:pPr>
        <w:pStyle w:val="ListBullet"/>
        <w:spacing w:after="40"/>
      </w:pPr>
      <w:r>
        <w:t>`backend/app/services/email_service.py`</w:t>
      </w:r>
    </w:p>
    <w:p>
      <w:pPr>
        <w:pStyle w:val="ListBullet"/>
        <w:spacing w:after="40"/>
      </w:pPr>
      <w:r>
        <w:t>`backend/app/runtime/langgraph_runtime.py`</w:t>
      </w:r>
    </w:p>
    <w:p>
      <w:pPr>
        <w:pStyle w:val="ListBullet"/>
        <w:spacing w:after="40"/>
      </w:pPr>
      <w:r>
        <w:t>`backend/app/runtime/langgraph_nodes.py`</w:t>
      </w:r>
    </w:p>
    <w:p>
      <w:pPr>
        <w:pStyle w:val="ListBullet"/>
        <w:spacing w:after="40"/>
      </w:pPr>
      <w:r>
        <w:t>`backend/alembic/versions/0001_review_platform.py` 至 `0004_supabase_auth.py`</w:t>
      </w:r>
    </w:p>
    <w:p>
      <w:pPr>
        <w:pStyle w:val="ListBullet"/>
        <w:spacing w:after="40"/>
      </w:pPr>
      <w:r>
        <w:t>`frontend/src/app/page.tsx`</w:t>
      </w:r>
    </w:p>
    <w:p>
      <w:pPr>
        <w:pStyle w:val="ListBullet"/>
        <w:spacing w:after="40"/>
      </w:pPr>
      <w:r>
        <w:t>`frontend/src/lib/api.ts`</w:t>
      </w:r>
    </w:p>
    <w:p>
      <w:pPr>
        <w:pStyle w:val="ListBullet"/>
        <w:spacing w:after="40"/>
      </w:pPr>
      <w:r>
        <w:t>`frontend/src/lib/auth.tsx`</w:t>
      </w:r>
    </w:p>
    <w:p>
      <w:pPr>
        <w:pStyle w:val="ListBullet"/>
        <w:spacing w:after="40"/>
      </w:pPr>
      <w:r>
        <w:t>`frontend/src/lib/use-sse.ts`</w:t>
      </w:r>
    </w:p>
    <w:p>
      <w:pPr>
        <w:pStyle w:val="ListBullet"/>
        <w:spacing w:after="40"/>
      </w:pPr>
      <w:r>
        <w:t>`frontend/src/lib/supabase.ts`</w:t>
      </w:r>
    </w:p>
    <w:p>
      <w:pPr>
        <w:pStyle w:val="Heading2"/>
        <w:keepNext/>
      </w:pPr>
      <w:r>
        <w:t>10.3 关键代码片段</w:t>
      </w:r>
    </w:p>
    <w:p>
      <w:pPr>
        <w:spacing w:after="100"/>
      </w:pPr>
      <w:r>
        <w:t>生产 API 地址具备本地/线上区分：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const configuredBase = process.env.NEXT_PUBLIC_API_URL?.trim();</w:t>
        <w:br/>
        <w:t>const BASE = (configuredBase || (</w:t>
        <w:br/>
        <w:t xml:space="preserve">  process.env.NODE_ENV === "production"</w:t>
        <w:br/>
        <w:t xml:space="preserve">    ? "https://review-platform-api.onrender.com"</w:t>
        <w:br/>
        <w:t xml:space="preserve">    : "http://localhost:8000"</w:t>
        <w:br/>
        <w:t>)).replace(/\/$/, "");</w:t>
      </w:r>
    </w:p>
    <w:p>
      <w:pPr>
        <w:spacing w:after="100"/>
      </w:pPr>
      <w:r>
        <w:t>评审报告完成后写入 Agent 输出和报告：</w:t>
      </w:r>
    </w:p>
    <w:p>
      <w:pPr>
        <w:spacing w:before="40" w:after="120"/>
        <w:ind w:left="259" w:right="259"/>
        <w:shd w:fill="F3F5F4"/>
      </w:pPr>
      <w:r>
        <w:rPr>
          <w:rFonts w:ascii="Consolas" w:hAnsi="Consolas"/>
          <w:sz w:val="17"/>
        </w:rPr>
        <w:t>markdown = _normalize_report(summary["markdown"], session, evidence)</w:t>
        <w:br/>
        <w:t>await save_output(db, session, "summary_report", session.max_round, markdown, summary)</w:t>
        <w:br/>
        <w:t>db.add(ReviewReport(session_id=session.id, markdown=markdown))</w:t>
        <w:br/>
        <w:t>session.status = "completed"</w:t>
        <w:br/>
        <w:t>session.current_stage = "completed"</w:t>
      </w:r>
    </w:p>
    <w:p>
      <w:pPr>
        <w:pStyle w:val="Heading1"/>
        <w:keepNext/>
      </w:pPr>
      <w:r>
        <w:t>十一、当前架构、验证结果与能力边界</w:t>
      </w:r>
    </w:p>
    <w:p>
      <w:pPr>
        <w:pStyle w:val="Heading2"/>
        <w:keepNext/>
      </w:pPr>
      <w:r>
        <w:t>11.1 当前运行方式</w:t>
      </w:r>
    </w:p>
    <w:p>
      <w:pPr>
        <w:spacing w:after="100"/>
      </w:pPr>
      <w:r>
        <w:t xml:space="preserve">默认配置 </w:t>
      </w:r>
      <w:r>
        <w:rPr>
          <w:rFonts w:ascii="Consolas" w:hAnsi="Consolas"/>
          <w:color w:val="28644B"/>
          <w:sz w:val="18"/>
        </w:rPr>
        <w:t>REVIEW_RUNTIME=custom</w:t>
      </w:r>
      <w:r>
        <w:t xml:space="preserve">，由 </w:t>
      </w:r>
      <w:r>
        <w:rPr>
          <w:rFonts w:ascii="Consolas" w:hAnsi="Consolas"/>
          <w:color w:val="28644B"/>
          <w:sz w:val="18"/>
        </w:rPr>
        <w:t>review_service.py</w:t>
      </w:r>
      <w:r>
        <w:t xml:space="preserve"> 负责顺序调度、数据库写入和 SSE 广播。LangGraph 代码已实现可切换入口，但需要生产 PostgreSQL checkpoint 和完整环境配置后再启用。</w:t>
      </w:r>
    </w:p>
    <w:p>
      <w:pPr>
        <w:pStyle w:val="Heading2"/>
        <w:keepNext/>
      </w:pPr>
      <w:r>
        <w:t>11.2 自动化验证</w:t>
      </w:r>
    </w:p>
    <w:p>
      <w:pPr>
        <w:pStyle w:val="ListBullet"/>
        <w:spacing w:after="40"/>
      </w:pPr>
      <w:r>
        <w:t>后端契约测试：`11 passed`</w:t>
      </w:r>
    </w:p>
    <w:p>
      <w:pPr>
        <w:pStyle w:val="ListBullet"/>
        <w:spacing w:after="40"/>
      </w:pPr>
      <w:r>
        <w:t>前端 ESLint：通过</w:t>
      </w:r>
    </w:p>
    <w:p>
      <w:pPr>
        <w:pStyle w:val="ListBullet"/>
        <w:spacing w:after="40"/>
      </w:pPr>
      <w:r>
        <w:t>Next.js 16 生产构建：通过</w:t>
      </w:r>
    </w:p>
    <w:p>
      <w:pPr>
        <w:pStyle w:val="ListBullet"/>
        <w:spacing w:after="40"/>
      </w:pPr>
      <w:r>
        <w:t>Alembic 四个迁移：临时 SQLite 验证通过</w:t>
      </w:r>
    </w:p>
    <w:p>
      <w:pPr>
        <w:pStyle w:val="ListBullet"/>
        <w:spacing w:after="40"/>
      </w:pPr>
      <w:r>
        <w:t>Git 分支：`main` 与 `refactor-review` 同步到 `7724030`</w:t>
      </w:r>
    </w:p>
    <w:p>
      <w:pPr>
        <w:pStyle w:val="ListBullet"/>
        <w:spacing w:after="40"/>
      </w:pPr>
      <w:r>
        <w:t>生产健康检查：Render `/api/health` 返回正常</w:t>
      </w:r>
    </w:p>
    <w:p>
      <w:pPr>
        <w:pStyle w:val="ListBullet"/>
        <w:spacing w:after="40"/>
      </w:pPr>
      <w:r>
        <w:t>生产 CORS：当前 Vercel 预览来源预检返回 `200`</w:t>
      </w:r>
    </w:p>
    <w:p>
      <w:pPr>
        <w:pStyle w:val="Heading2"/>
        <w:keepNext/>
      </w:pPr>
      <w:r>
        <w:t>11.3 真实服务验收边界</w:t>
      </w:r>
    </w:p>
    <w:p>
      <w:pPr>
        <w:spacing w:after="100"/>
      </w:pPr>
      <w:r>
        <w:t>以下项目不能仅靠本地自动化证明，需要部署账户中的真实配置：</w:t>
      </w:r>
    </w:p>
    <w:p>
      <w:pPr>
        <w:pStyle w:val="ListBullet"/>
        <w:spacing w:after="40"/>
      </w:pPr>
      <w:r>
        <w:t>Supabase Auth 的真实注册、验证和重置邮件</w:t>
      </w:r>
    </w:p>
    <w:p>
      <w:pPr>
        <w:pStyle w:val="ListBullet"/>
        <w:spacing w:after="40"/>
      </w:pPr>
      <w:r>
        <w:t>Resend 组织邀请邮件送达</w:t>
      </w:r>
    </w:p>
    <w:p>
      <w:pPr>
        <w:pStyle w:val="ListBullet"/>
        <w:spacing w:after="40"/>
      </w:pPr>
      <w:r>
        <w:t>DeepSeek 真实模型响应和 Token 统计</w:t>
      </w:r>
    </w:p>
    <w:p>
      <w:pPr>
        <w:pStyle w:val="ListBullet"/>
        <w:spacing w:after="40"/>
      </w:pPr>
      <w:r>
        <w:t>DuckDuckGo 真实网络搜索稳定性</w:t>
      </w:r>
    </w:p>
    <w:p>
      <w:pPr>
        <w:pStyle w:val="ListBullet"/>
        <w:spacing w:after="40"/>
      </w:pPr>
      <w:r>
        <w:t>Supabase Storage 私有桶上传/删除策略</w:t>
      </w:r>
    </w:p>
    <w:p>
      <w:pPr>
        <w:pStyle w:val="ListBullet"/>
        <w:spacing w:after="40"/>
      </w:pPr>
      <w:r>
        <w:t>Render 长连接、休眠唤醒和多实例限流表现</w:t>
      </w:r>
    </w:p>
    <w:p>
      <w:pPr>
        <w:pStyle w:val="Heading2"/>
        <w:keepNext/>
      </w:pPr>
      <w:r>
        <w:t>11.4 明确限制</w:t>
      </w:r>
    </w:p>
    <w:p>
      <w:pPr>
        <w:pStyle w:val="ListBullet"/>
        <w:spacing w:after="40"/>
      </w:pPr>
      <w:r>
        <w:t>不支持扫描版 PDF OCR</w:t>
      </w:r>
    </w:p>
    <w:p>
      <w:pPr>
        <w:pStyle w:val="ListBullet"/>
        <w:spacing w:after="40"/>
      </w:pPr>
      <w:r>
        <w:t>搜索结果质量受外部搜索服务影响</w:t>
      </w:r>
    </w:p>
    <w:p>
      <w:pPr>
        <w:pStyle w:val="ListBullet"/>
        <w:spacing w:after="40"/>
      </w:pPr>
      <w:r>
        <w:t>AI 输出属于辅助评审，不替代法律、医疗、投资等专业判断</w:t>
      </w:r>
    </w:p>
    <w:p>
      <w:pPr>
        <w:pStyle w:val="ListBullet"/>
        <w:spacing w:after="40"/>
      </w:pPr>
      <w:r>
        <w:t>当前自研编排服务重启后只能将任务标记为中断并重跑，真正的断点续跑留给 LangGraph checkpoint 阶段</w:t>
      </w:r>
    </w:p>
    <w:p>
      <w:pPr>
        <w:pStyle w:val="Heading1"/>
        <w:keepNext/>
      </w:pPr>
      <w:r>
        <w:t>十二、经验教训与后续优化方向</w:t>
      </w:r>
    </w:p>
    <w:p>
      <w:pPr>
        <w:pStyle w:val="Heading2"/>
        <w:keepNext/>
      </w:pPr>
      <w:r>
        <w:t>12.1 经验教训</w:t>
      </w:r>
    </w:p>
    <w:p>
      <w:pPr>
        <w:spacing w:after="100"/>
      </w:pPr>
      <w:r>
        <w:t>1. 领域重构应先冻结接口和数据边界，再删除旧业务，避免辩论概念继续渗透到新页面。</w:t>
      </w:r>
    </w:p>
    <w:p>
      <w:pPr>
        <w:spacing w:after="100"/>
      </w:pPr>
      <w:r>
        <w:t>2. 所有模型输出都要经过结构化校验和可解释兜底，不能把模型文本直接当作业务状态。</w:t>
      </w:r>
    </w:p>
    <w:p>
      <w:pPr>
        <w:spacing w:after="100"/>
      </w:pPr>
      <w:r>
        <w:t>3. SSE 必须“先落库、后广播”，前端状态必须能从持久化详情重新计算。</w:t>
      </w:r>
    </w:p>
    <w:p>
      <w:pPr>
        <w:spacing w:after="100"/>
      </w:pPr>
      <w:r>
        <w:t>4. 分离部署时，API 地址、CORS、Cookie、CSRF 和 Supabase Redirect URL 必须作为一条链路联调。</w:t>
      </w:r>
    </w:p>
    <w:p>
      <w:pPr>
        <w:spacing w:after="100"/>
      </w:pPr>
      <w:r>
        <w:t>5. 服务商适配器必须对未知配置显式失败，不能把“打印日志”误认为“邮件已发送”。</w:t>
      </w:r>
    </w:p>
    <w:p>
      <w:pPr>
        <w:spacing w:after="100"/>
      </w:pPr>
      <w:r>
        <w:t>6. 产品预览可以公开，但任何组织数据、上传和执行操作都必须经过认证。</w:t>
      </w:r>
    </w:p>
    <w:p>
      <w:pPr>
        <w:pStyle w:val="Heading2"/>
        <w:keepNext/>
      </w:pPr>
      <w:r>
        <w:t>12.2 后续优化优先级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优化项</w:t>
            </w:r>
          </w:p>
        </w:tc>
        <w:tc>
          <w:tcPr>
            <w:tcW w:type="dxa" w:w="3312"/>
            <w:vAlign w:val="center"/>
            <w:shd w:fill="287A5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真实服务验收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用真实 Supabase、Resend、DeepSeek 和 Storage 跑完整主题/多文档评审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LangGraph PostgreSQL checkpoint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启用暂停、恢复、人工复核和服务重启续跑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Playwright E2E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覆盖登录、上传、SSE 合并、证据展开、报告下载和移动端布局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事件/状态对照测试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保证断线恢复不重复写证据、不重复创建报告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搜索来源质量评分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增加来源域名、发布时间和可引用性排序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文档分块与摘要缓存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降低多文档长上下文的模型成本和延迟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成员管理页面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展示成员列表、邀请状态和移除操作</w:t>
            </w:r>
          </w:p>
        </w:tc>
      </w:tr>
      <w:tr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报告版本和批注</w:t>
            </w:r>
          </w:p>
        </w:tc>
        <w:tc>
          <w:tcPr>
            <w:tcW w:type="dxa" w:w="3312"/>
            <w:vAlign w:val="center"/>
            <w:shd w:fill="F1F7F3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支持团队复核、标注和版本对比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和更多格式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在明确成本与隐私策略后增加扫描 PDF、PPTX 等格式</w:t>
            </w:r>
          </w:p>
        </w:tc>
      </w:tr>
    </w:tbl>
    <w:p>
      <w:pPr>
        <w:spacing w:after="40"/>
      </w:pPr>
    </w:p>
    <w:p>
      <w:pPr>
        <w:spacing w:after="100"/>
      </w:pPr>
      <w:r>
        <w:t>— 文档结束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7D"/>
        <w:sz w:val="16"/>
      </w:rPr>
      <w:t>内部技术文档  |  代码基线 7724030</w:t>
    </w:r>
    <w:r>
      <w:t xml:space="preserve">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7D"/>
        <w:sz w:val="16"/>
      </w:rPr>
      <w:t>多 Agent 交叉评审调研平台 · 开发全过程报告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E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87A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80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