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A6B670" w14:textId="6A0A74AB" w:rsidR="009877BF" w:rsidRPr="009877BF" w:rsidRDefault="009877BF" w:rsidP="009877BF">
      <w:pPr>
        <w:spacing w:after="200" w:line="360" w:lineRule="auto"/>
        <w:jc w:val="center"/>
        <w:rPr>
          <w:color w:val="2E75B6"/>
          <w:sz w:val="48"/>
          <w:szCs w:val="48"/>
        </w:rPr>
      </w:pPr>
      <w:r w:rsidRPr="009877BF">
        <w:rPr>
          <w:rFonts w:ascii="Times New Roman" w:eastAsia="Times New Roman" w:hAnsi="Times New Roman" w:cs="Times New Roman"/>
          <w:b/>
          <w:bCs/>
          <w:color w:val="000000"/>
          <w:kern w:val="0"/>
          <w:sz w:val="52"/>
          <w:szCs w:val="52"/>
          <w14:ligatures w14:val="none"/>
        </w:rPr>
        <w:t>In-Class Activity</w:t>
      </w:r>
    </w:p>
    <w:p w14:paraId="5EE749ED" w14:textId="054008AD" w:rsidR="009877BF" w:rsidRPr="009877BF" w:rsidRDefault="009877BF" w:rsidP="009877BF">
      <w:pPr>
        <w:spacing w:before="100" w:beforeAutospacing="1" w:after="100" w:afterAutospacing="1" w:line="240" w:lineRule="auto"/>
        <w:jc w:val="center"/>
        <w:outlineLvl w:val="2"/>
        <w:rPr>
          <w:rFonts w:ascii="Times New Roman" w:eastAsia="Times New Roman" w:hAnsi="Times New Roman" w:cs="Times New Roman"/>
          <w:b/>
          <w:bCs/>
          <w:color w:val="000000"/>
          <w:kern w:val="0"/>
          <w:sz w:val="36"/>
          <w:szCs w:val="36"/>
          <w14:ligatures w14:val="none"/>
        </w:rPr>
      </w:pPr>
      <w:r w:rsidRPr="009877BF">
        <w:rPr>
          <w:rFonts w:ascii="Times New Roman" w:eastAsia="Times New Roman" w:hAnsi="Times New Roman" w:cs="Times New Roman"/>
          <w:b/>
          <w:bCs/>
          <w:color w:val="000000"/>
          <w:kern w:val="0"/>
          <w:sz w:val="36"/>
          <w:szCs w:val="36"/>
          <w14:ligatures w14:val="none"/>
        </w:rPr>
        <w:t>Risk Response Planning</w:t>
      </w:r>
    </w:p>
    <w:p w14:paraId="39E1F5EA" w14:textId="15EB9C13" w:rsidR="009877BF" w:rsidRPr="009877BF" w:rsidRDefault="009877BF" w:rsidP="009877BF">
      <w:pPr>
        <w:spacing w:before="100" w:beforeAutospacing="1" w:after="100" w:afterAutospacing="1" w:line="240" w:lineRule="auto"/>
        <w:jc w:val="center"/>
        <w:outlineLvl w:val="3"/>
        <w:rPr>
          <w:rFonts w:ascii="Times New Roman" w:eastAsia="Times New Roman" w:hAnsi="Times New Roman" w:cs="Times New Roman"/>
          <w:b/>
          <w:bCs/>
          <w:color w:val="000000"/>
          <w:kern w:val="0"/>
          <w14:ligatures w14:val="none"/>
        </w:rPr>
      </w:pPr>
      <w:r w:rsidRPr="009877BF">
        <w:rPr>
          <w:rFonts w:ascii="Times New Roman" w:eastAsia="Times New Roman" w:hAnsi="Times New Roman" w:cs="Times New Roman"/>
          <w:b/>
          <w:bCs/>
          <w:color w:val="000000"/>
          <w:kern w:val="0"/>
          <w14:ligatures w14:val="none"/>
        </w:rPr>
        <w:t xml:space="preserve">Shopify Inc. </w:t>
      </w:r>
      <w:r w:rsidR="00712F84">
        <w:rPr>
          <w:rFonts w:ascii="Times New Roman" w:eastAsia="Times New Roman" w:hAnsi="Times New Roman" w:cs="Times New Roman"/>
          <w:b/>
          <w:bCs/>
          <w:color w:val="000000"/>
          <w:kern w:val="0"/>
          <w14:ligatures w14:val="none"/>
        </w:rPr>
        <w:t xml:space="preserve">- </w:t>
      </w:r>
      <w:r w:rsidRPr="009877BF">
        <w:rPr>
          <w:rFonts w:ascii="Times New Roman" w:eastAsia="Times New Roman" w:hAnsi="Times New Roman" w:cs="Times New Roman"/>
          <w:b/>
          <w:bCs/>
          <w:color w:val="000000"/>
          <w:kern w:val="0"/>
          <w14:ligatures w14:val="none"/>
        </w:rPr>
        <w:t>Vantage Discovery Acquisition</w:t>
      </w:r>
    </w:p>
    <w:p w14:paraId="4AFEC571" w14:textId="77777777" w:rsidR="009877BF" w:rsidRPr="00BE60DA" w:rsidRDefault="009877BF" w:rsidP="009877BF">
      <w:pPr>
        <w:pBdr>
          <w:bottom w:val="single" w:sz="6" w:space="1" w:color="2E4057"/>
        </w:pBdr>
        <w:spacing w:after="80" w:line="360" w:lineRule="auto"/>
        <w:rPr>
          <w:b/>
          <w:bCs/>
          <w:color w:val="2E4057"/>
          <w:sz w:val="22"/>
          <w:szCs w:val="22"/>
        </w:rPr>
      </w:pPr>
    </w:p>
    <w:p w14:paraId="2AE9564B" w14:textId="77777777" w:rsidR="009877BF" w:rsidRPr="00BE60DA" w:rsidRDefault="009877BF" w:rsidP="009877BF">
      <w:pPr>
        <w:spacing w:after="600" w:line="360" w:lineRule="auto"/>
        <w:jc w:val="center"/>
        <w:rPr>
          <w:sz w:val="22"/>
          <w:szCs w:val="22"/>
        </w:rPr>
      </w:pPr>
    </w:p>
    <w:tbl>
      <w:tblPr>
        <w:tblW w:w="6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tblGrid>
      <w:tr w:rsidR="009877BF" w:rsidRPr="00BE60DA" w14:paraId="23931353" w14:textId="77777777" w:rsidTr="00D66F5B">
        <w:trPr>
          <w:jc w:val="center"/>
        </w:trPr>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4A057B5" w14:textId="77777777" w:rsidR="009877BF" w:rsidRPr="00BE60DA" w:rsidRDefault="009877BF" w:rsidP="00D66F5B">
            <w:pPr>
              <w:spacing w:line="360" w:lineRule="auto"/>
              <w:rPr>
                <w:sz w:val="22"/>
                <w:szCs w:val="22"/>
              </w:rPr>
            </w:pPr>
            <w:r>
              <w:rPr>
                <w:b/>
                <w:bCs/>
                <w:sz w:val="22"/>
                <w:szCs w:val="22"/>
              </w:rPr>
              <w:t>Student</w:t>
            </w:r>
          </w:p>
        </w:tc>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6519A24" w14:textId="77777777" w:rsidR="009877BF" w:rsidRPr="00BE60DA" w:rsidRDefault="009877BF" w:rsidP="00D66F5B">
            <w:pPr>
              <w:spacing w:line="360" w:lineRule="auto"/>
              <w:rPr>
                <w:sz w:val="22"/>
                <w:szCs w:val="22"/>
              </w:rPr>
            </w:pPr>
            <w:r>
              <w:rPr>
                <w:b/>
                <w:bCs/>
                <w:sz w:val="22"/>
                <w:szCs w:val="22"/>
              </w:rPr>
              <w:t>NUID</w:t>
            </w:r>
          </w:p>
        </w:tc>
      </w:tr>
      <w:tr w:rsidR="009877BF" w:rsidRPr="00BE60DA" w14:paraId="45360819" w14:textId="77777777" w:rsidTr="00D66F5B">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590C20" w14:textId="77777777" w:rsidR="009877BF" w:rsidRPr="00BE60DA" w:rsidRDefault="009877BF" w:rsidP="00D66F5B">
            <w:pPr>
              <w:spacing w:line="360" w:lineRule="auto"/>
              <w:rPr>
                <w:sz w:val="22"/>
                <w:szCs w:val="22"/>
              </w:rPr>
            </w:pPr>
            <w:r>
              <w:rPr>
                <w:sz w:val="22"/>
                <w:szCs w:val="22"/>
              </w:rPr>
              <w:t>Terry Lucas Boye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331192" w14:textId="77777777" w:rsidR="009877BF" w:rsidRPr="00BE60DA" w:rsidRDefault="009877BF" w:rsidP="00D66F5B">
            <w:pPr>
              <w:spacing w:line="360" w:lineRule="auto"/>
              <w:rPr>
                <w:sz w:val="22"/>
                <w:szCs w:val="22"/>
              </w:rPr>
            </w:pPr>
            <w:r>
              <w:rPr>
                <w:sz w:val="22"/>
                <w:szCs w:val="22"/>
              </w:rPr>
              <w:t>002595573</w:t>
            </w:r>
          </w:p>
        </w:tc>
      </w:tr>
      <w:tr w:rsidR="009877BF" w:rsidRPr="00BE60DA" w14:paraId="02044230" w14:textId="77777777" w:rsidTr="00D66F5B">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E17CCD" w14:textId="77777777" w:rsidR="009877BF" w:rsidRPr="00BE60DA" w:rsidRDefault="009877BF" w:rsidP="00D66F5B">
            <w:pPr>
              <w:spacing w:line="360" w:lineRule="auto"/>
              <w:rPr>
                <w:sz w:val="22"/>
                <w:szCs w:val="22"/>
              </w:rPr>
            </w:pPr>
            <w:r>
              <w:rPr>
                <w:sz w:val="22"/>
                <w:szCs w:val="22"/>
              </w:rPr>
              <w:t>Lissette Diaz</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7D9686" w14:textId="77777777" w:rsidR="009877BF" w:rsidRPr="00BE60DA" w:rsidRDefault="009877BF" w:rsidP="00D66F5B">
            <w:pPr>
              <w:spacing w:line="360" w:lineRule="auto"/>
              <w:rPr>
                <w:sz w:val="22"/>
                <w:szCs w:val="22"/>
              </w:rPr>
            </w:pPr>
            <w:r>
              <w:rPr>
                <w:sz w:val="22"/>
                <w:szCs w:val="22"/>
              </w:rPr>
              <w:t>003163767</w:t>
            </w:r>
          </w:p>
        </w:tc>
      </w:tr>
      <w:tr w:rsidR="009877BF" w:rsidRPr="00BE60DA" w14:paraId="3B3D5690" w14:textId="77777777" w:rsidTr="00D66F5B">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6BE50E" w14:textId="77777777" w:rsidR="009877BF" w:rsidRPr="00BE60DA" w:rsidRDefault="009877BF" w:rsidP="00D66F5B">
            <w:pPr>
              <w:spacing w:line="360" w:lineRule="auto"/>
              <w:rPr>
                <w:sz w:val="22"/>
                <w:szCs w:val="22"/>
              </w:rPr>
            </w:pPr>
            <w:r>
              <w:rPr>
                <w:sz w:val="22"/>
                <w:szCs w:val="22"/>
              </w:rPr>
              <w:t>Ekene Onyemanjo</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3F3E13" w14:textId="77777777" w:rsidR="009877BF" w:rsidRPr="00BE60DA" w:rsidRDefault="009877BF" w:rsidP="00D66F5B">
            <w:pPr>
              <w:spacing w:line="360" w:lineRule="auto"/>
              <w:rPr>
                <w:sz w:val="22"/>
                <w:szCs w:val="22"/>
              </w:rPr>
            </w:pPr>
            <w:r>
              <w:rPr>
                <w:sz w:val="22"/>
                <w:szCs w:val="22"/>
              </w:rPr>
              <w:t>002336956</w:t>
            </w:r>
          </w:p>
        </w:tc>
      </w:tr>
    </w:tbl>
    <w:p w14:paraId="3B2EAF39" w14:textId="77777777" w:rsidR="009877BF" w:rsidRPr="00BE60DA" w:rsidRDefault="009877BF" w:rsidP="009877BF">
      <w:pPr>
        <w:pBdr>
          <w:top w:val="single" w:sz="4" w:space="10" w:color="156082"/>
          <w:left w:val="nil"/>
          <w:bottom w:val="single" w:sz="4" w:space="10" w:color="156082"/>
          <w:right w:val="nil"/>
          <w:between w:val="nil"/>
        </w:pBdr>
        <w:spacing w:before="360" w:after="360" w:line="360" w:lineRule="auto"/>
        <w:ind w:left="864" w:right="864"/>
        <w:jc w:val="center"/>
        <w:rPr>
          <w:i/>
          <w:iCs/>
          <w:color w:val="156082"/>
          <w:sz w:val="22"/>
          <w:szCs w:val="22"/>
        </w:rPr>
      </w:pPr>
      <w:r>
        <w:rPr>
          <w:i/>
          <w:iCs/>
          <w:color w:val="156082"/>
          <w:sz w:val="22"/>
          <w:szCs w:val="22"/>
        </w:rPr>
        <w:t>Northeastern University</w:t>
      </w:r>
    </w:p>
    <w:p w14:paraId="0905008B" w14:textId="77777777" w:rsidR="009877BF" w:rsidRPr="00BE60DA" w:rsidRDefault="009877BF" w:rsidP="009877BF">
      <w:pPr>
        <w:pBdr>
          <w:top w:val="single" w:sz="4" w:space="10" w:color="156082"/>
          <w:left w:val="nil"/>
          <w:bottom w:val="single" w:sz="4" w:space="10" w:color="156082"/>
          <w:right w:val="nil"/>
          <w:between w:val="nil"/>
        </w:pBdr>
        <w:spacing w:before="360" w:after="360" w:line="360" w:lineRule="auto"/>
        <w:ind w:left="864" w:right="864"/>
        <w:jc w:val="center"/>
        <w:rPr>
          <w:i/>
          <w:iCs/>
          <w:color w:val="156082"/>
          <w:sz w:val="22"/>
          <w:szCs w:val="22"/>
        </w:rPr>
      </w:pPr>
      <w:r>
        <w:rPr>
          <w:i/>
          <w:iCs/>
          <w:color w:val="156082"/>
          <w:sz w:val="22"/>
          <w:szCs w:val="22"/>
        </w:rPr>
        <w:t>College of Professional Studies</w:t>
      </w:r>
    </w:p>
    <w:p w14:paraId="1FF27804" w14:textId="77777777" w:rsidR="009877BF" w:rsidRPr="00BE60DA" w:rsidRDefault="009877BF" w:rsidP="009877BF">
      <w:pPr>
        <w:spacing w:before="600" w:line="360" w:lineRule="auto"/>
        <w:jc w:val="center"/>
        <w:rPr>
          <w:sz w:val="22"/>
          <w:szCs w:val="22"/>
        </w:rPr>
      </w:pPr>
      <w:r>
        <w:rPr>
          <w:b/>
          <w:bCs/>
          <w:sz w:val="22"/>
          <w:szCs w:val="22"/>
        </w:rPr>
        <w:t xml:space="preserve">Course: </w:t>
      </w:r>
      <w:r>
        <w:rPr>
          <w:sz w:val="22"/>
          <w:szCs w:val="22"/>
        </w:rPr>
        <w:t>ALY 6130 – Risk Management</w:t>
      </w:r>
    </w:p>
    <w:p w14:paraId="33F2E8AD" w14:textId="77777777" w:rsidR="009877BF" w:rsidRPr="00BE60DA" w:rsidRDefault="009877BF" w:rsidP="009877BF">
      <w:pPr>
        <w:spacing w:before="80" w:line="360" w:lineRule="auto"/>
        <w:jc w:val="center"/>
        <w:rPr>
          <w:sz w:val="22"/>
          <w:szCs w:val="22"/>
        </w:rPr>
      </w:pPr>
      <w:r>
        <w:rPr>
          <w:b/>
          <w:bCs/>
          <w:sz w:val="22"/>
          <w:szCs w:val="22"/>
        </w:rPr>
        <w:t xml:space="preserve">Instructor: </w:t>
      </w:r>
      <w:r>
        <w:rPr>
          <w:sz w:val="22"/>
          <w:szCs w:val="22"/>
        </w:rPr>
        <w:t>Abeba Nigussie Turi</w:t>
      </w:r>
    </w:p>
    <w:p w14:paraId="08D509AC" w14:textId="24CC54F2" w:rsidR="009877BF" w:rsidRPr="00BE60DA" w:rsidRDefault="009877BF" w:rsidP="009877BF">
      <w:pPr>
        <w:spacing w:before="80" w:line="360" w:lineRule="auto"/>
        <w:jc w:val="center"/>
        <w:rPr>
          <w:sz w:val="22"/>
          <w:szCs w:val="22"/>
        </w:rPr>
      </w:pPr>
      <w:r>
        <w:rPr>
          <w:b/>
          <w:bCs/>
          <w:sz w:val="22"/>
          <w:szCs w:val="22"/>
        </w:rPr>
        <w:t xml:space="preserve">Date: </w:t>
      </w:r>
      <w:r>
        <w:rPr>
          <w:sz w:val="22"/>
          <w:szCs w:val="22"/>
        </w:rPr>
        <w:t>June 1</w:t>
      </w:r>
      <w:r>
        <w:rPr>
          <w:sz w:val="22"/>
          <w:szCs w:val="22"/>
        </w:rPr>
        <w:t>9</w:t>
      </w:r>
      <w:r>
        <w:rPr>
          <w:sz w:val="22"/>
          <w:szCs w:val="22"/>
        </w:rPr>
        <w:t>th, 2026</w:t>
      </w:r>
    </w:p>
    <w:p w14:paraId="6FE0B046" w14:textId="77777777" w:rsidR="009877BF" w:rsidRPr="00BE60DA" w:rsidRDefault="009877BF" w:rsidP="009877BF">
      <w:pPr>
        <w:spacing w:line="360" w:lineRule="auto"/>
        <w:rPr>
          <w:b/>
          <w:bCs/>
          <w:color w:val="2E4057"/>
          <w:sz w:val="22"/>
          <w:szCs w:val="22"/>
        </w:rPr>
      </w:pPr>
      <w:r>
        <w:rPr>
          <w:b/>
          <w:bCs/>
          <w:color w:val="2E4057"/>
          <w:sz w:val="22"/>
          <w:szCs w:val="22"/>
        </w:rPr>
        <w:br w:type="page"/>
      </w:r>
    </w:p>
    <w:p w14:paraId="6F240D6A" w14:textId="77777777" w:rsidR="009877BF" w:rsidRPr="009877BF" w:rsidRDefault="005F25CF" w:rsidP="009877BF">
      <w:pPr>
        <w:spacing w:after="0" w:line="240" w:lineRule="auto"/>
        <w:rPr>
          <w:rFonts w:ascii="Times New Roman" w:eastAsia="Times New Roman" w:hAnsi="Times New Roman" w:cs="Times New Roman"/>
          <w:kern w:val="0"/>
          <w14:ligatures w14:val="none"/>
        </w:rPr>
      </w:pPr>
      <w:r w:rsidRPr="005F25CF">
        <w:rPr>
          <w:rFonts w:ascii="Times New Roman" w:eastAsia="Times New Roman" w:hAnsi="Times New Roman" w:cs="Times New Roman"/>
          <w:noProof/>
          <w:kern w:val="0"/>
        </w:rPr>
        <w:lastRenderedPageBreak/>
        <w:pict w14:anchorId="7DF36175">
          <v:rect id="_x0000_i1028" alt="" style="width:468pt;height:.05pt;mso-width-percent:0;mso-height-percent:0;mso-width-percent:0;mso-height-percent:0" o:hralign="center" o:hrstd="t" o:hr="t" fillcolor="#a0a0a0" stroked="f"/>
        </w:pict>
      </w:r>
    </w:p>
    <w:p w14:paraId="55239D48" w14:textId="1D6440D4" w:rsidR="009877BF" w:rsidRPr="009877BF" w:rsidRDefault="009877BF" w:rsidP="009877BF">
      <w:pPr>
        <w:spacing w:before="100" w:beforeAutospacing="1" w:after="100" w:afterAutospacing="1" w:line="240" w:lineRule="auto"/>
        <w:jc w:val="both"/>
        <w:outlineLvl w:val="2"/>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Risk 1: Loss of Merchants to Amazon/Google AI Search Competition (T1 Negative)</w:t>
      </w:r>
    </w:p>
    <w:p w14:paraId="5255C413" w14:textId="77777777" w:rsidR="009877BF" w:rsidRPr="009877BF" w:rsidRDefault="009877BF" w:rsidP="009877BF">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Heat Map Position: High Probability × High Impact | Monte Carlo: 100% L1 breach | P50 loss: $133.8M</w:t>
      </w:r>
    </w:p>
    <w:p w14:paraId="3F4FDC7A" w14:textId="77777777" w:rsidR="009877BF" w:rsidRPr="009877BF" w:rsidRDefault="009877BF" w:rsidP="009877BF">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Response Strategy: Mitigation/Reduction</w:t>
      </w:r>
    </w:p>
    <w:p w14:paraId="75CA0A69" w14:textId="212381B7" w:rsidR="009877BF" w:rsidRPr="009877BF" w:rsidRDefault="009877BF" w:rsidP="009877BF">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 xml:space="preserve">Justification: Avoidance is not </w:t>
      </w:r>
      <w:r w:rsidRPr="009877BF">
        <w:rPr>
          <w:rFonts w:ascii="Times New Roman" w:eastAsia="Times New Roman" w:hAnsi="Times New Roman" w:cs="Times New Roman"/>
          <w:color w:val="000000"/>
          <w:kern w:val="0"/>
          <w:sz w:val="22"/>
          <w:szCs w:val="22"/>
          <w14:ligatures w14:val="none"/>
        </w:rPr>
        <w:t>feasible</w:t>
      </w:r>
      <w:r>
        <w:rPr>
          <w:rFonts w:ascii="Times New Roman" w:eastAsia="Times New Roman" w:hAnsi="Times New Roman" w:cs="Times New Roman"/>
          <w:color w:val="000000"/>
          <w:kern w:val="0"/>
          <w:sz w:val="22"/>
          <w:szCs w:val="22"/>
          <w14:ligatures w14:val="none"/>
        </w:rPr>
        <w:t xml:space="preserve">; </w:t>
      </w:r>
      <w:r w:rsidRPr="009877BF">
        <w:rPr>
          <w:rFonts w:ascii="Times New Roman" w:eastAsia="Times New Roman" w:hAnsi="Times New Roman" w:cs="Times New Roman"/>
          <w:color w:val="000000"/>
          <w:kern w:val="0"/>
          <w:sz w:val="22"/>
          <w:szCs w:val="22"/>
          <w14:ligatures w14:val="none"/>
        </w:rPr>
        <w:t xml:space="preserve">Shopify cannot exit the AI search market after acquiring Vantage Discovery without abandoning its core strategic investment. Transfer is also impractical because merchant churn risk cannot be insured or contractually shifted to a third party. Acceptance would be irresponsible given the 100% L1 breach probability confirmed by the Monte Carlo simulation. Mitigation is therefore the only appropriate </w:t>
      </w:r>
      <w:r w:rsidRPr="009877BF">
        <w:rPr>
          <w:rFonts w:ascii="Times New Roman" w:eastAsia="Times New Roman" w:hAnsi="Times New Roman" w:cs="Times New Roman"/>
          <w:color w:val="000000"/>
          <w:kern w:val="0"/>
          <w:sz w:val="22"/>
          <w:szCs w:val="22"/>
          <w14:ligatures w14:val="none"/>
        </w:rPr>
        <w:t>strategy</w:t>
      </w:r>
      <w:r>
        <w:rPr>
          <w:rFonts w:ascii="Times New Roman" w:eastAsia="Times New Roman" w:hAnsi="Times New Roman" w:cs="Times New Roman"/>
          <w:color w:val="000000"/>
          <w:kern w:val="0"/>
          <w:sz w:val="22"/>
          <w:szCs w:val="22"/>
          <w14:ligatures w14:val="none"/>
        </w:rPr>
        <w:t xml:space="preserve">; </w:t>
      </w:r>
      <w:r w:rsidRPr="009877BF">
        <w:rPr>
          <w:rFonts w:ascii="Times New Roman" w:eastAsia="Times New Roman" w:hAnsi="Times New Roman" w:cs="Times New Roman"/>
          <w:color w:val="000000"/>
          <w:kern w:val="0"/>
          <w:sz w:val="22"/>
          <w:szCs w:val="22"/>
          <w14:ligatures w14:val="none"/>
        </w:rPr>
        <w:t>the goal is to reduce both the likelihood of merchant churn and its financial impact through proactive retention and product quality controls.</w:t>
      </w:r>
    </w:p>
    <w:p w14:paraId="62FE5308" w14:textId="77777777" w:rsidR="009877BF" w:rsidRPr="009877BF" w:rsidRDefault="009877BF" w:rsidP="009877BF">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Response Plan:</w:t>
      </w:r>
    </w:p>
    <w:p w14:paraId="51C44188" w14:textId="13A3AD85" w:rsidR="009877BF" w:rsidRPr="009877BF" w:rsidRDefault="009877BF" w:rsidP="009877BF">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 xml:space="preserve">Phased rollout with performance gates: Deploy Vantage Discovery AI search to a controlled beta cohort of Shopify merchants before full platform release. Establish a minimum acceptable search relevance score before advancing to the next deployment phase. </w:t>
      </w:r>
    </w:p>
    <w:p w14:paraId="7112E043" w14:textId="1F7A2F8C" w:rsidR="009877BF" w:rsidRPr="009877BF" w:rsidRDefault="009877BF" w:rsidP="009877BF">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 xml:space="preserve">Legacy search fallback system: Maintain the existing Shopify search infrastructure in parallel during integration. </w:t>
      </w:r>
    </w:p>
    <w:p w14:paraId="7C324CB8" w14:textId="5257B6C9" w:rsidR="009877BF" w:rsidRPr="009877BF" w:rsidRDefault="009877BF" w:rsidP="009877BF">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 xml:space="preserve">Shopify Plus retention program: Given that Plus merchants contribute disproportionately to ARR, deploy a dedicated white-glove retention team for the highest-value merchant segment. </w:t>
      </w:r>
    </w:p>
    <w:p w14:paraId="30B61BB7" w14:textId="1BE88612" w:rsidR="009877BF" w:rsidRPr="009877BF" w:rsidRDefault="009877BF" w:rsidP="009877BF">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 xml:space="preserve">Competitive benchmarking dashboard: Establish a monthly internal benchmark comparing Vantage Discovery's search relevance and conversion lift against Amazon and Google Shopping AI. </w:t>
      </w:r>
    </w:p>
    <w:p w14:paraId="55521279" w14:textId="00B629A3" w:rsidR="009877BF" w:rsidRPr="009877BF" w:rsidRDefault="009877BF" w:rsidP="009877BF">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KRI monitoring: Merchant Churn Rate monitored weekly. Amber threshold: &gt;2% monthly. Red threshold: &gt;4% monthly OR &gt;1.5% among Shopify Plus merchants triggers emergency retention protocol and CTO escalation.</w:t>
      </w:r>
    </w:p>
    <w:p w14:paraId="489B8160" w14:textId="77777777" w:rsidR="009877BF" w:rsidRPr="009877BF" w:rsidRDefault="005F25CF" w:rsidP="009877BF">
      <w:pPr>
        <w:spacing w:after="0" w:line="240" w:lineRule="auto"/>
        <w:jc w:val="both"/>
        <w:rPr>
          <w:rFonts w:ascii="Times New Roman" w:eastAsia="Times New Roman" w:hAnsi="Times New Roman" w:cs="Times New Roman"/>
          <w:kern w:val="0"/>
          <w:sz w:val="22"/>
          <w:szCs w:val="22"/>
          <w14:ligatures w14:val="none"/>
        </w:rPr>
      </w:pPr>
      <w:r w:rsidRPr="005F25CF">
        <w:rPr>
          <w:rFonts w:ascii="Times New Roman" w:eastAsia="Times New Roman" w:hAnsi="Times New Roman" w:cs="Times New Roman"/>
          <w:noProof/>
          <w:kern w:val="0"/>
          <w:sz w:val="22"/>
          <w:szCs w:val="22"/>
        </w:rPr>
        <w:pict w14:anchorId="57C98944">
          <v:rect id="_x0000_i1027" alt="" style="width:468pt;height:.05pt;mso-width-percent:0;mso-height-percent:0;mso-width-percent:0;mso-height-percent:0" o:hralign="center" o:hrstd="t" o:hr="t" fillcolor="#a0a0a0" stroked="f"/>
        </w:pict>
      </w:r>
    </w:p>
    <w:p w14:paraId="10BF1C6A" w14:textId="3FA06661" w:rsidR="009877BF" w:rsidRPr="009877BF" w:rsidRDefault="009877BF" w:rsidP="009877BF">
      <w:pPr>
        <w:spacing w:before="100" w:beforeAutospacing="1" w:after="100" w:afterAutospacing="1" w:line="240" w:lineRule="auto"/>
        <w:jc w:val="both"/>
        <w:outlineLvl w:val="2"/>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Risk 2: Regulatory Non-Compliance with PIPEDA / EU AI Act / CCPA (T3 Negative)</w:t>
      </w:r>
    </w:p>
    <w:p w14:paraId="0EB1CE80" w14:textId="77777777" w:rsidR="009877BF" w:rsidRPr="009877BF" w:rsidRDefault="009877BF" w:rsidP="009877BF">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Heat Map Position: Moderate Probability × Maximum Impact | P50 fine: $128.2M | Tail risk: $508M</w:t>
      </w:r>
    </w:p>
    <w:p w14:paraId="564BBC9F" w14:textId="77777777" w:rsidR="009877BF" w:rsidRPr="009877BF" w:rsidRDefault="009877BF" w:rsidP="009877BF">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Response Strategy: Mitigation/Reduction + Transfer (hybrid)</w:t>
      </w:r>
    </w:p>
    <w:p w14:paraId="328FFB7A" w14:textId="5F8E989E" w:rsidR="009877BF" w:rsidRPr="009877BF" w:rsidRDefault="009877BF" w:rsidP="009877BF">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 xml:space="preserve">Justification: Avoidance would require Shopify to not deploy LLM-based AI features at all, which contradicts the entire purpose of the Vantage Discovery acquisition. Full acceptance is ruled out given the catastrophic tail risk of $508M. The hybrid approach combines mitigation </w:t>
      </w:r>
      <w:r w:rsidR="00493C5A" w:rsidRPr="009877BF">
        <w:rPr>
          <w:rFonts w:ascii="Times New Roman" w:eastAsia="Times New Roman" w:hAnsi="Times New Roman" w:cs="Times New Roman"/>
          <w:color w:val="000000"/>
          <w:kern w:val="0"/>
          <w:sz w:val="22"/>
          <w:szCs w:val="22"/>
          <w14:ligatures w14:val="none"/>
        </w:rPr>
        <w:t>reducing</w:t>
      </w:r>
      <w:r w:rsidRPr="009877BF">
        <w:rPr>
          <w:rFonts w:ascii="Times New Roman" w:eastAsia="Times New Roman" w:hAnsi="Times New Roman" w:cs="Times New Roman"/>
          <w:color w:val="000000"/>
          <w:kern w:val="0"/>
          <w:sz w:val="22"/>
          <w:szCs w:val="22"/>
          <w14:ligatures w14:val="none"/>
        </w:rPr>
        <w:t xml:space="preserve"> the likelihood of non-compliance through governance controls with partial transfer through regulatory liability insurance and legal indemnification clauses in vendor contracts, reducing the financial impact if a breach does occur.</w:t>
      </w:r>
    </w:p>
    <w:p w14:paraId="58AF3762" w14:textId="77777777" w:rsidR="009877BF" w:rsidRPr="009877BF" w:rsidRDefault="009877BF" w:rsidP="009877BF">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Response Plan:</w:t>
      </w:r>
    </w:p>
    <w:p w14:paraId="54EC900E" w14:textId="77777777" w:rsidR="009877BF" w:rsidRPr="009877BF" w:rsidRDefault="009877BF" w:rsidP="009877BF">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 xml:space="preserve">Pre-launch AI compliance audit: Before Vantage Discovery AI search is deployed to any live merchant storefront, commission an independent third-party audit assessing compliance with </w:t>
      </w:r>
      <w:r w:rsidRPr="009877BF">
        <w:rPr>
          <w:rFonts w:ascii="Times New Roman" w:eastAsia="Times New Roman" w:hAnsi="Times New Roman" w:cs="Times New Roman"/>
          <w:color w:val="000000"/>
          <w:kern w:val="0"/>
          <w:sz w:val="22"/>
          <w:szCs w:val="22"/>
          <w14:ligatures w14:val="none"/>
        </w:rPr>
        <w:lastRenderedPageBreak/>
        <w:t>GDPR, PIPEDA, CCPA, and the EU AI Act's high-risk AI system classification requirements. No deployment proceeds without audit sign-off.</w:t>
      </w:r>
    </w:p>
    <w:p w14:paraId="125F40AE" w14:textId="77777777" w:rsidR="009877BF" w:rsidRPr="009877BF" w:rsidRDefault="009877BF" w:rsidP="009877BF">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AI Governance Officer appointment: Hire or designate a dedicated AI Governance Officer responsible for LLM transparency documentation, algorithmic bias review, and ongoing regulatory horizon scanning across all jurisdictions where Shopify operates.</w:t>
      </w:r>
    </w:p>
    <w:p w14:paraId="6B4113A6" w14:textId="471993F2" w:rsidR="009877BF" w:rsidRPr="009877BF" w:rsidRDefault="009877BF" w:rsidP="009877BF">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 xml:space="preserve">Data minimization and purpose-limitation policy: Implement strict controls on what consumer behavioral data is ingested by the Vantage Discovery LLM, ensuring only data necessary for search personalization is processed. </w:t>
      </w:r>
    </w:p>
    <w:p w14:paraId="3A9BA93D" w14:textId="77777777" w:rsidR="009877BF" w:rsidRPr="009877BF" w:rsidRDefault="009877BF" w:rsidP="009877BF">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Jurisdiction-specific data residency: Establish separate data residency environments for EU and Canadian user data, ensuring that cross-border data transfers comply with GDPR Chapter V restrictions and Canada's evolving AIDA framework.</w:t>
      </w:r>
    </w:p>
    <w:p w14:paraId="00B84C3A" w14:textId="77777777" w:rsidR="009877BF" w:rsidRPr="009877BF" w:rsidRDefault="009877BF" w:rsidP="009877BF">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Regulatory liability insurance (Transfer element): Obtain cyber and regulatory liability insurance covering first-party regulatory investigation costs and third-party fine exposure up to a defined policy limit. This does not eliminate the risk but caps the worst-case financial consequence below the $508M tail scenario.</w:t>
      </w:r>
    </w:p>
    <w:p w14:paraId="3950EFFD" w14:textId="054B2214" w:rsidR="009877BF" w:rsidRPr="009877BF" w:rsidRDefault="009877BF" w:rsidP="009877BF">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KRI monitoring: Number of high/critical severity regulatory findings unresolved beyond 30 days. Amber: 1–2 findings. Red: ≥3 findings OR any confirmed regulatory investigation triggers immediate board-level escalation and legal counsel engagement.</w:t>
      </w:r>
    </w:p>
    <w:p w14:paraId="7113891C" w14:textId="77777777" w:rsidR="009877BF" w:rsidRPr="009877BF" w:rsidRDefault="005F25CF" w:rsidP="009877BF">
      <w:pPr>
        <w:spacing w:after="0" w:line="240" w:lineRule="auto"/>
        <w:jc w:val="both"/>
        <w:rPr>
          <w:rFonts w:ascii="Times New Roman" w:eastAsia="Times New Roman" w:hAnsi="Times New Roman" w:cs="Times New Roman"/>
          <w:kern w:val="0"/>
          <w:sz w:val="22"/>
          <w:szCs w:val="22"/>
          <w14:ligatures w14:val="none"/>
        </w:rPr>
      </w:pPr>
      <w:r w:rsidRPr="005F25CF">
        <w:rPr>
          <w:rFonts w:ascii="Times New Roman" w:eastAsia="Times New Roman" w:hAnsi="Times New Roman" w:cs="Times New Roman"/>
          <w:noProof/>
          <w:kern w:val="0"/>
          <w:sz w:val="22"/>
          <w:szCs w:val="22"/>
        </w:rPr>
        <w:pict w14:anchorId="6BC8C755">
          <v:rect id="_x0000_i1026" alt="" style="width:468pt;height:.05pt;mso-width-percent:0;mso-height-percent:0;mso-width-percent:0;mso-height-percent:0" o:hralign="center" o:hrstd="t" o:hr="t" fillcolor="#a0a0a0" stroked="f"/>
        </w:pict>
      </w:r>
    </w:p>
    <w:p w14:paraId="157FF86D" w14:textId="79C5CD89" w:rsidR="009877BF" w:rsidRPr="009877BF" w:rsidRDefault="009877BF" w:rsidP="009877BF">
      <w:pPr>
        <w:spacing w:before="100" w:beforeAutospacing="1" w:after="100" w:afterAutospacing="1" w:line="240" w:lineRule="auto"/>
        <w:jc w:val="both"/>
        <w:outlineLvl w:val="2"/>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 xml:space="preserve">Risk 3: New Merchant Segment Expansion via Contextual AI Search (O1+O3 </w:t>
      </w:r>
      <w:r w:rsidR="00712F84">
        <w:rPr>
          <w:rFonts w:ascii="Times New Roman" w:eastAsia="Times New Roman" w:hAnsi="Times New Roman" w:cs="Times New Roman"/>
          <w:color w:val="000000"/>
          <w:kern w:val="0"/>
          <w:sz w:val="22"/>
          <w:szCs w:val="22"/>
          <w14:ligatures w14:val="none"/>
        </w:rPr>
        <w:t xml:space="preserve">- </w:t>
      </w:r>
      <w:r w:rsidRPr="009877BF">
        <w:rPr>
          <w:rFonts w:ascii="Times New Roman" w:eastAsia="Times New Roman" w:hAnsi="Times New Roman" w:cs="Times New Roman"/>
          <w:color w:val="000000"/>
          <w:kern w:val="0"/>
          <w:sz w:val="22"/>
          <w:szCs w:val="22"/>
          <w14:ligatures w14:val="none"/>
        </w:rPr>
        <w:t>Positive)</w:t>
      </w:r>
    </w:p>
    <w:p w14:paraId="696A2DCF" w14:textId="77777777" w:rsidR="009877BF" w:rsidRPr="009877BF" w:rsidRDefault="009877BF" w:rsidP="009877BF">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Heat Map Position: Moderate Probability × High Positive Impact | Monte Carlo: 45.1% probability of exceeding L1 | P50: $491.3M ARR upside</w:t>
      </w:r>
    </w:p>
    <w:p w14:paraId="296C5197" w14:textId="77777777" w:rsidR="009877BF" w:rsidRPr="009877BF" w:rsidRDefault="009877BF" w:rsidP="009877BF">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Response Strategy: Exploit/Enhance (Positive Risk)</w:t>
      </w:r>
    </w:p>
    <w:p w14:paraId="3B82DD35" w14:textId="1440E753" w:rsidR="009877BF" w:rsidRPr="009877BF" w:rsidRDefault="009877BF" w:rsidP="009877BF">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Justification: Because this is a positive risk an opportunity rather than a threat</w:t>
      </w:r>
      <w:r w:rsidR="00712F84">
        <w:rPr>
          <w:rFonts w:ascii="Times New Roman" w:eastAsia="Times New Roman" w:hAnsi="Times New Roman" w:cs="Times New Roman"/>
          <w:color w:val="000000"/>
          <w:kern w:val="0"/>
          <w:sz w:val="22"/>
          <w:szCs w:val="22"/>
          <w14:ligatures w14:val="none"/>
        </w:rPr>
        <w:t>,</w:t>
      </w:r>
      <w:r w:rsidRPr="009877BF">
        <w:rPr>
          <w:rFonts w:ascii="Times New Roman" w:eastAsia="Times New Roman" w:hAnsi="Times New Roman" w:cs="Times New Roman"/>
          <w:color w:val="000000"/>
          <w:kern w:val="0"/>
          <w:sz w:val="22"/>
          <w:szCs w:val="22"/>
          <w14:ligatures w14:val="none"/>
        </w:rPr>
        <w:t xml:space="preserve"> the appropriate PMBOK/COSO response strategies shift from avoidance and mitigation to exploitation and enhancement. Exploitation aims to ensure the opportunity is fully captured; enhancement aims to increase its probability and/or impact. Given that the 6 to 18 month competitive window is time-limited and that competing platforms are actively developing equivalent AI features, a passive acceptance approach would forfeit a $491.3M P50 ARR opportunity. Immediate, resource-backed action is required.</w:t>
      </w:r>
    </w:p>
    <w:p w14:paraId="266CFB72" w14:textId="77777777" w:rsidR="009877BF" w:rsidRPr="009877BF" w:rsidRDefault="009877BF" w:rsidP="009877BF">
      <w:p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Response Plan:</w:t>
      </w:r>
    </w:p>
    <w:p w14:paraId="3DF6F8F0" w14:textId="3B4D9863" w:rsidR="009877BF" w:rsidRPr="009877BF" w:rsidRDefault="009877BF" w:rsidP="009877BF">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 xml:space="preserve">Targeted competitor migration campaign: Launch a dedicated acquisition campaign within 30 days of Vantage Discovery AI search going live, specifically targeting merchants on Amazon Seller Central, Wix, and BigCommerce who have publicly expressed platform dissatisfaction. </w:t>
      </w:r>
    </w:p>
    <w:p w14:paraId="46B8F5B0" w14:textId="16A725E5" w:rsidR="009877BF" w:rsidRPr="009877BF" w:rsidRDefault="009877BF" w:rsidP="009877BF">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 xml:space="preserve">Time-limited migration incentives: Offer waived platform fees for the first three months and free onboarding support to merchants migrating from a competing platform during the first 12 months of the campaign window. </w:t>
      </w:r>
    </w:p>
    <w:p w14:paraId="40B64D5C" w14:textId="42308E59" w:rsidR="009877BF" w:rsidRPr="009877BF" w:rsidRDefault="009877BF" w:rsidP="009877BF">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 xml:space="preserve">Proactive onboarding capacity scaling: Pre-authorize hiring of additional merchant onboarding specialists before the campaign launches, not after volume increases. </w:t>
      </w:r>
    </w:p>
    <w:p w14:paraId="2CC295E5" w14:textId="5BD1C51F" w:rsidR="009877BF" w:rsidRPr="009877BF" w:rsidRDefault="009877BF" w:rsidP="009877BF">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 xml:space="preserve">AI search case study content: Develop and publish merchant success stories demonstrating measurable conversion rate improvements from Vantage Discovery's contextual AI search, targeting the SMB and mid-market segments most likely to migrate. </w:t>
      </w:r>
    </w:p>
    <w:p w14:paraId="3FFD3301" w14:textId="132FE8F5" w:rsidR="009877BF" w:rsidRPr="009877BF" w:rsidRDefault="009877BF" w:rsidP="009877BF">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 xml:space="preserve">KRI monitoring: Net New Merchant Acquisition Rate from competing platforms. Amber: 5–15% above baseline </w:t>
      </w:r>
      <w:r w:rsidR="00712F84" w:rsidRPr="009877BF">
        <w:rPr>
          <w:rFonts w:ascii="Times New Roman" w:eastAsia="Times New Roman" w:hAnsi="Times New Roman" w:cs="Times New Roman"/>
          <w:color w:val="000000"/>
          <w:kern w:val="0"/>
          <w:sz w:val="22"/>
          <w:szCs w:val="22"/>
          <w14:ligatures w14:val="none"/>
        </w:rPr>
        <w:t>activates</w:t>
      </w:r>
      <w:r w:rsidRPr="009877BF">
        <w:rPr>
          <w:rFonts w:ascii="Times New Roman" w:eastAsia="Times New Roman" w:hAnsi="Times New Roman" w:cs="Times New Roman"/>
          <w:color w:val="000000"/>
          <w:kern w:val="0"/>
          <w:sz w:val="22"/>
          <w:szCs w:val="22"/>
          <w14:ligatures w14:val="none"/>
        </w:rPr>
        <w:t xml:space="preserve"> campaign scaling. Red: &gt;15% above baseline </w:t>
      </w:r>
      <w:r w:rsidR="00712F84" w:rsidRPr="009877BF">
        <w:rPr>
          <w:rFonts w:ascii="Times New Roman" w:eastAsia="Times New Roman" w:hAnsi="Times New Roman" w:cs="Times New Roman"/>
          <w:color w:val="000000"/>
          <w:kern w:val="0"/>
          <w:sz w:val="22"/>
          <w:szCs w:val="22"/>
          <w14:ligatures w14:val="none"/>
        </w:rPr>
        <w:t>escalates</w:t>
      </w:r>
      <w:r w:rsidRPr="009877BF">
        <w:rPr>
          <w:rFonts w:ascii="Times New Roman" w:eastAsia="Times New Roman" w:hAnsi="Times New Roman" w:cs="Times New Roman"/>
          <w:color w:val="000000"/>
          <w:kern w:val="0"/>
          <w:sz w:val="22"/>
          <w:szCs w:val="22"/>
          <w14:ligatures w14:val="none"/>
        </w:rPr>
        <w:t xml:space="preserve"> to COO for </w:t>
      </w:r>
      <w:r w:rsidRPr="009877BF">
        <w:rPr>
          <w:rFonts w:ascii="Times New Roman" w:eastAsia="Times New Roman" w:hAnsi="Times New Roman" w:cs="Times New Roman"/>
          <w:color w:val="000000"/>
          <w:kern w:val="0"/>
          <w:sz w:val="22"/>
          <w:szCs w:val="22"/>
          <w14:ligatures w14:val="none"/>
        </w:rPr>
        <w:lastRenderedPageBreak/>
        <w:t>onboarding capacity authorization. This Red threshold signals a positive risk breach requiring resource deployment, not a threat response.</w:t>
      </w:r>
    </w:p>
    <w:p w14:paraId="6F9A8BC5" w14:textId="77777777" w:rsidR="009877BF" w:rsidRPr="009877BF" w:rsidRDefault="005F25CF" w:rsidP="009877BF">
      <w:pPr>
        <w:spacing w:after="0" w:line="240" w:lineRule="auto"/>
        <w:jc w:val="both"/>
        <w:rPr>
          <w:rFonts w:ascii="Times New Roman" w:eastAsia="Times New Roman" w:hAnsi="Times New Roman" w:cs="Times New Roman"/>
          <w:kern w:val="0"/>
          <w:sz w:val="22"/>
          <w:szCs w:val="22"/>
          <w14:ligatures w14:val="none"/>
        </w:rPr>
      </w:pPr>
      <w:r w:rsidRPr="005F25CF">
        <w:rPr>
          <w:rFonts w:ascii="Times New Roman" w:eastAsia="Times New Roman" w:hAnsi="Times New Roman" w:cs="Times New Roman"/>
          <w:noProof/>
          <w:kern w:val="0"/>
          <w:sz w:val="22"/>
          <w:szCs w:val="22"/>
        </w:rPr>
        <w:pict w14:anchorId="2F50DD13">
          <v:rect id="_x0000_i1025" alt="" style="width:468pt;height:.05pt;mso-width-percent:0;mso-height-percent:0;mso-width-percent:0;mso-height-percent:0" o:hralign="center" o:hrstd="t" o:hr="t" fillcolor="#a0a0a0" stroked="f"/>
        </w:pict>
      </w:r>
    </w:p>
    <w:p w14:paraId="16F0FFAD" w14:textId="77777777" w:rsidR="009877BF" w:rsidRPr="009877BF" w:rsidRDefault="009877BF" w:rsidP="009877BF">
      <w:pPr>
        <w:spacing w:before="100" w:beforeAutospacing="1" w:after="100" w:afterAutospacing="1" w:line="240" w:lineRule="auto"/>
        <w:jc w:val="both"/>
        <w:outlineLvl w:val="2"/>
        <w:rPr>
          <w:rFonts w:ascii="Times New Roman" w:eastAsia="Times New Roman" w:hAnsi="Times New Roman" w:cs="Times New Roman"/>
          <w:color w:val="000000"/>
          <w:kern w:val="0"/>
          <w:sz w:val="22"/>
          <w:szCs w:val="22"/>
          <w14:ligatures w14:val="none"/>
        </w:rPr>
      </w:pPr>
      <w:r w:rsidRPr="009877BF">
        <w:rPr>
          <w:rFonts w:ascii="Times New Roman" w:eastAsia="Times New Roman" w:hAnsi="Times New Roman" w:cs="Times New Roman"/>
          <w:color w:val="000000"/>
          <w:kern w:val="0"/>
          <w:sz w:val="22"/>
          <w:szCs w:val="22"/>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1508"/>
        <w:gridCol w:w="3703"/>
        <w:gridCol w:w="2379"/>
      </w:tblGrid>
      <w:tr w:rsidR="009877BF" w:rsidRPr="009877BF" w14:paraId="285B1D1E" w14:textId="77777777">
        <w:trPr>
          <w:tblHeader/>
          <w:tblCellSpacing w:w="15" w:type="dxa"/>
        </w:trPr>
        <w:tc>
          <w:tcPr>
            <w:tcW w:w="0" w:type="auto"/>
            <w:vAlign w:val="center"/>
            <w:hideMark/>
          </w:tcPr>
          <w:p w14:paraId="368D541C" w14:textId="77777777" w:rsidR="009877BF" w:rsidRPr="009877BF" w:rsidRDefault="009877BF" w:rsidP="009877BF">
            <w:pPr>
              <w:spacing w:after="0" w:line="240" w:lineRule="auto"/>
              <w:jc w:val="both"/>
              <w:rPr>
                <w:rFonts w:ascii="Times New Roman" w:eastAsia="Times New Roman" w:hAnsi="Times New Roman" w:cs="Times New Roman"/>
                <w:kern w:val="0"/>
                <w:sz w:val="22"/>
                <w:szCs w:val="22"/>
                <w14:ligatures w14:val="none"/>
              </w:rPr>
            </w:pPr>
            <w:r w:rsidRPr="009877BF">
              <w:rPr>
                <w:rFonts w:ascii="Times New Roman" w:eastAsia="Times New Roman" w:hAnsi="Times New Roman" w:cs="Times New Roman"/>
                <w:kern w:val="0"/>
                <w:sz w:val="22"/>
                <w:szCs w:val="22"/>
                <w14:ligatures w14:val="none"/>
              </w:rPr>
              <w:t>Risk</w:t>
            </w:r>
          </w:p>
        </w:tc>
        <w:tc>
          <w:tcPr>
            <w:tcW w:w="0" w:type="auto"/>
            <w:vAlign w:val="center"/>
            <w:hideMark/>
          </w:tcPr>
          <w:p w14:paraId="66E07BDA" w14:textId="77777777" w:rsidR="009877BF" w:rsidRPr="009877BF" w:rsidRDefault="009877BF" w:rsidP="009877BF">
            <w:pPr>
              <w:spacing w:after="0" w:line="240" w:lineRule="auto"/>
              <w:jc w:val="both"/>
              <w:rPr>
                <w:rFonts w:ascii="Times New Roman" w:eastAsia="Times New Roman" w:hAnsi="Times New Roman" w:cs="Times New Roman"/>
                <w:kern w:val="0"/>
                <w:sz w:val="22"/>
                <w:szCs w:val="22"/>
                <w14:ligatures w14:val="none"/>
              </w:rPr>
            </w:pPr>
            <w:r w:rsidRPr="009877BF">
              <w:rPr>
                <w:rFonts w:ascii="Times New Roman" w:eastAsia="Times New Roman" w:hAnsi="Times New Roman" w:cs="Times New Roman"/>
                <w:kern w:val="0"/>
                <w:sz w:val="22"/>
                <w:szCs w:val="22"/>
                <w14:ligatures w14:val="none"/>
              </w:rPr>
              <w:t>Strategy</w:t>
            </w:r>
          </w:p>
        </w:tc>
        <w:tc>
          <w:tcPr>
            <w:tcW w:w="0" w:type="auto"/>
            <w:vAlign w:val="center"/>
            <w:hideMark/>
          </w:tcPr>
          <w:p w14:paraId="4CFC578D" w14:textId="77777777" w:rsidR="009877BF" w:rsidRPr="009877BF" w:rsidRDefault="009877BF" w:rsidP="009877BF">
            <w:pPr>
              <w:spacing w:after="0" w:line="240" w:lineRule="auto"/>
              <w:jc w:val="both"/>
              <w:rPr>
                <w:rFonts w:ascii="Times New Roman" w:eastAsia="Times New Roman" w:hAnsi="Times New Roman" w:cs="Times New Roman"/>
                <w:kern w:val="0"/>
                <w:sz w:val="22"/>
                <w:szCs w:val="22"/>
                <w14:ligatures w14:val="none"/>
              </w:rPr>
            </w:pPr>
            <w:r w:rsidRPr="009877BF">
              <w:rPr>
                <w:rFonts w:ascii="Times New Roman" w:eastAsia="Times New Roman" w:hAnsi="Times New Roman" w:cs="Times New Roman"/>
                <w:kern w:val="0"/>
                <w:sz w:val="22"/>
                <w:szCs w:val="22"/>
                <w14:ligatures w14:val="none"/>
              </w:rPr>
              <w:t>Primary Rationale</w:t>
            </w:r>
          </w:p>
        </w:tc>
        <w:tc>
          <w:tcPr>
            <w:tcW w:w="0" w:type="auto"/>
            <w:vAlign w:val="center"/>
            <w:hideMark/>
          </w:tcPr>
          <w:p w14:paraId="07B791A5" w14:textId="77777777" w:rsidR="009877BF" w:rsidRPr="009877BF" w:rsidRDefault="009877BF" w:rsidP="009877BF">
            <w:pPr>
              <w:spacing w:after="0" w:line="240" w:lineRule="auto"/>
              <w:jc w:val="both"/>
              <w:rPr>
                <w:rFonts w:ascii="Times New Roman" w:eastAsia="Times New Roman" w:hAnsi="Times New Roman" w:cs="Times New Roman"/>
                <w:kern w:val="0"/>
                <w:sz w:val="22"/>
                <w:szCs w:val="22"/>
                <w14:ligatures w14:val="none"/>
              </w:rPr>
            </w:pPr>
            <w:r w:rsidRPr="009877BF">
              <w:rPr>
                <w:rFonts w:ascii="Times New Roman" w:eastAsia="Times New Roman" w:hAnsi="Times New Roman" w:cs="Times New Roman"/>
                <w:kern w:val="0"/>
                <w:sz w:val="22"/>
                <w:szCs w:val="22"/>
                <w14:ligatures w14:val="none"/>
              </w:rPr>
              <w:t>Key Action</w:t>
            </w:r>
          </w:p>
        </w:tc>
      </w:tr>
      <w:tr w:rsidR="009877BF" w:rsidRPr="009877BF" w14:paraId="6F3566B1" w14:textId="77777777">
        <w:trPr>
          <w:tblCellSpacing w:w="15" w:type="dxa"/>
        </w:trPr>
        <w:tc>
          <w:tcPr>
            <w:tcW w:w="0" w:type="auto"/>
            <w:vAlign w:val="center"/>
            <w:hideMark/>
          </w:tcPr>
          <w:p w14:paraId="4A78C7E3" w14:textId="7BD1D6F3" w:rsidR="009877BF" w:rsidRPr="009877BF" w:rsidRDefault="009877BF" w:rsidP="009877BF">
            <w:pPr>
              <w:spacing w:after="0" w:line="240" w:lineRule="auto"/>
              <w:jc w:val="both"/>
              <w:rPr>
                <w:rFonts w:ascii="Times New Roman" w:eastAsia="Times New Roman" w:hAnsi="Times New Roman" w:cs="Times New Roman"/>
                <w:kern w:val="0"/>
                <w:sz w:val="22"/>
                <w:szCs w:val="22"/>
                <w14:ligatures w14:val="none"/>
              </w:rPr>
            </w:pPr>
            <w:r w:rsidRPr="009877BF">
              <w:rPr>
                <w:rFonts w:ascii="Times New Roman" w:eastAsia="Times New Roman" w:hAnsi="Times New Roman" w:cs="Times New Roman"/>
                <w:kern w:val="0"/>
                <w:sz w:val="22"/>
                <w:szCs w:val="22"/>
                <w14:ligatures w14:val="none"/>
              </w:rPr>
              <w:t xml:space="preserve">R-001 </w:t>
            </w:r>
            <w:r w:rsidR="00493C5A">
              <w:rPr>
                <w:rFonts w:ascii="Times New Roman" w:eastAsia="Times New Roman" w:hAnsi="Times New Roman" w:cs="Times New Roman"/>
                <w:kern w:val="0"/>
                <w:sz w:val="22"/>
                <w:szCs w:val="22"/>
                <w14:ligatures w14:val="none"/>
              </w:rPr>
              <w:t xml:space="preserve">  </w:t>
            </w:r>
            <w:r w:rsidRPr="009877BF">
              <w:rPr>
                <w:rFonts w:ascii="Times New Roman" w:eastAsia="Times New Roman" w:hAnsi="Times New Roman" w:cs="Times New Roman"/>
                <w:kern w:val="0"/>
                <w:sz w:val="22"/>
                <w:szCs w:val="22"/>
                <w14:ligatures w14:val="none"/>
              </w:rPr>
              <w:t>AI Competition</w:t>
            </w:r>
          </w:p>
        </w:tc>
        <w:tc>
          <w:tcPr>
            <w:tcW w:w="0" w:type="auto"/>
            <w:vAlign w:val="center"/>
            <w:hideMark/>
          </w:tcPr>
          <w:p w14:paraId="16992DF4" w14:textId="77777777" w:rsidR="009877BF" w:rsidRPr="009877BF" w:rsidRDefault="009877BF" w:rsidP="009877BF">
            <w:pPr>
              <w:spacing w:after="0" w:line="240" w:lineRule="auto"/>
              <w:jc w:val="both"/>
              <w:rPr>
                <w:rFonts w:ascii="Times New Roman" w:eastAsia="Times New Roman" w:hAnsi="Times New Roman" w:cs="Times New Roman"/>
                <w:kern w:val="0"/>
                <w:sz w:val="22"/>
                <w:szCs w:val="22"/>
                <w14:ligatures w14:val="none"/>
              </w:rPr>
            </w:pPr>
            <w:r w:rsidRPr="009877BF">
              <w:rPr>
                <w:rFonts w:ascii="Times New Roman" w:eastAsia="Times New Roman" w:hAnsi="Times New Roman" w:cs="Times New Roman"/>
                <w:kern w:val="0"/>
                <w:sz w:val="22"/>
                <w:szCs w:val="22"/>
                <w14:ligatures w14:val="none"/>
              </w:rPr>
              <w:t>Mitigation</w:t>
            </w:r>
          </w:p>
        </w:tc>
        <w:tc>
          <w:tcPr>
            <w:tcW w:w="0" w:type="auto"/>
            <w:vAlign w:val="center"/>
            <w:hideMark/>
          </w:tcPr>
          <w:p w14:paraId="0D849EFE" w14:textId="77777777" w:rsidR="009877BF" w:rsidRPr="009877BF" w:rsidRDefault="009877BF" w:rsidP="009877BF">
            <w:pPr>
              <w:spacing w:after="0" w:line="240" w:lineRule="auto"/>
              <w:jc w:val="both"/>
              <w:rPr>
                <w:rFonts w:ascii="Times New Roman" w:eastAsia="Times New Roman" w:hAnsi="Times New Roman" w:cs="Times New Roman"/>
                <w:kern w:val="0"/>
                <w:sz w:val="22"/>
                <w:szCs w:val="22"/>
                <w14:ligatures w14:val="none"/>
              </w:rPr>
            </w:pPr>
            <w:r w:rsidRPr="009877BF">
              <w:rPr>
                <w:rFonts w:ascii="Times New Roman" w:eastAsia="Times New Roman" w:hAnsi="Times New Roman" w:cs="Times New Roman"/>
                <w:kern w:val="0"/>
                <w:sz w:val="22"/>
                <w:szCs w:val="22"/>
                <w14:ligatures w14:val="none"/>
              </w:rPr>
              <w:t>Cannot avoid or transfer; 100% L1 breach demands active reduction</w:t>
            </w:r>
          </w:p>
        </w:tc>
        <w:tc>
          <w:tcPr>
            <w:tcW w:w="0" w:type="auto"/>
            <w:vAlign w:val="center"/>
            <w:hideMark/>
          </w:tcPr>
          <w:p w14:paraId="33D43657" w14:textId="77777777" w:rsidR="009877BF" w:rsidRPr="009877BF" w:rsidRDefault="009877BF" w:rsidP="009877BF">
            <w:pPr>
              <w:spacing w:after="0" w:line="240" w:lineRule="auto"/>
              <w:jc w:val="both"/>
              <w:rPr>
                <w:rFonts w:ascii="Times New Roman" w:eastAsia="Times New Roman" w:hAnsi="Times New Roman" w:cs="Times New Roman"/>
                <w:kern w:val="0"/>
                <w:sz w:val="22"/>
                <w:szCs w:val="22"/>
                <w14:ligatures w14:val="none"/>
              </w:rPr>
            </w:pPr>
            <w:r w:rsidRPr="009877BF">
              <w:rPr>
                <w:rFonts w:ascii="Times New Roman" w:eastAsia="Times New Roman" w:hAnsi="Times New Roman" w:cs="Times New Roman"/>
                <w:kern w:val="0"/>
                <w:sz w:val="22"/>
                <w:szCs w:val="22"/>
                <w14:ligatures w14:val="none"/>
              </w:rPr>
              <w:t>Phased rollout + Plus retention program</w:t>
            </w:r>
          </w:p>
        </w:tc>
      </w:tr>
      <w:tr w:rsidR="009877BF" w:rsidRPr="009877BF" w14:paraId="0567F00B" w14:textId="77777777">
        <w:trPr>
          <w:tblCellSpacing w:w="15" w:type="dxa"/>
        </w:trPr>
        <w:tc>
          <w:tcPr>
            <w:tcW w:w="0" w:type="auto"/>
            <w:vAlign w:val="center"/>
            <w:hideMark/>
          </w:tcPr>
          <w:p w14:paraId="6EB19241" w14:textId="77777777" w:rsidR="009877BF" w:rsidRPr="009877BF" w:rsidRDefault="009877BF" w:rsidP="009877BF">
            <w:pPr>
              <w:spacing w:after="0" w:line="240" w:lineRule="auto"/>
              <w:jc w:val="both"/>
              <w:rPr>
                <w:rFonts w:ascii="Times New Roman" w:eastAsia="Times New Roman" w:hAnsi="Times New Roman" w:cs="Times New Roman"/>
                <w:kern w:val="0"/>
                <w:sz w:val="22"/>
                <w:szCs w:val="22"/>
                <w14:ligatures w14:val="none"/>
              </w:rPr>
            </w:pPr>
            <w:r w:rsidRPr="009877BF">
              <w:rPr>
                <w:rFonts w:ascii="Times New Roman" w:eastAsia="Times New Roman" w:hAnsi="Times New Roman" w:cs="Times New Roman"/>
                <w:kern w:val="0"/>
                <w:sz w:val="22"/>
                <w:szCs w:val="22"/>
                <w14:ligatures w14:val="none"/>
              </w:rPr>
              <w:t>R-002 Regulatory</w:t>
            </w:r>
          </w:p>
        </w:tc>
        <w:tc>
          <w:tcPr>
            <w:tcW w:w="0" w:type="auto"/>
            <w:vAlign w:val="center"/>
            <w:hideMark/>
          </w:tcPr>
          <w:p w14:paraId="2D44AE7E" w14:textId="77777777" w:rsidR="009877BF" w:rsidRPr="009877BF" w:rsidRDefault="009877BF" w:rsidP="009877BF">
            <w:pPr>
              <w:spacing w:after="0" w:line="240" w:lineRule="auto"/>
              <w:jc w:val="both"/>
              <w:rPr>
                <w:rFonts w:ascii="Times New Roman" w:eastAsia="Times New Roman" w:hAnsi="Times New Roman" w:cs="Times New Roman"/>
                <w:kern w:val="0"/>
                <w:sz w:val="22"/>
                <w:szCs w:val="22"/>
                <w14:ligatures w14:val="none"/>
              </w:rPr>
            </w:pPr>
            <w:r w:rsidRPr="009877BF">
              <w:rPr>
                <w:rFonts w:ascii="Times New Roman" w:eastAsia="Times New Roman" w:hAnsi="Times New Roman" w:cs="Times New Roman"/>
                <w:kern w:val="0"/>
                <w:sz w:val="22"/>
                <w:szCs w:val="22"/>
                <w14:ligatures w14:val="none"/>
              </w:rPr>
              <w:t>Mitigation + Transfer</w:t>
            </w:r>
          </w:p>
        </w:tc>
        <w:tc>
          <w:tcPr>
            <w:tcW w:w="0" w:type="auto"/>
            <w:vAlign w:val="center"/>
            <w:hideMark/>
          </w:tcPr>
          <w:p w14:paraId="3EE6DA63" w14:textId="77777777" w:rsidR="009877BF" w:rsidRPr="009877BF" w:rsidRDefault="009877BF" w:rsidP="009877BF">
            <w:pPr>
              <w:spacing w:after="0" w:line="240" w:lineRule="auto"/>
              <w:jc w:val="both"/>
              <w:rPr>
                <w:rFonts w:ascii="Times New Roman" w:eastAsia="Times New Roman" w:hAnsi="Times New Roman" w:cs="Times New Roman"/>
                <w:kern w:val="0"/>
                <w:sz w:val="22"/>
                <w:szCs w:val="22"/>
                <w14:ligatures w14:val="none"/>
              </w:rPr>
            </w:pPr>
            <w:r w:rsidRPr="009877BF">
              <w:rPr>
                <w:rFonts w:ascii="Times New Roman" w:eastAsia="Times New Roman" w:hAnsi="Times New Roman" w:cs="Times New Roman"/>
                <w:kern w:val="0"/>
                <w:sz w:val="22"/>
                <w:szCs w:val="22"/>
                <w14:ligatures w14:val="none"/>
              </w:rPr>
              <w:t>Hybrid reduces probability and caps tail financial impact</w:t>
            </w:r>
          </w:p>
        </w:tc>
        <w:tc>
          <w:tcPr>
            <w:tcW w:w="0" w:type="auto"/>
            <w:vAlign w:val="center"/>
            <w:hideMark/>
          </w:tcPr>
          <w:p w14:paraId="3954CDCC" w14:textId="77777777" w:rsidR="009877BF" w:rsidRPr="009877BF" w:rsidRDefault="009877BF" w:rsidP="009877BF">
            <w:pPr>
              <w:spacing w:after="0" w:line="240" w:lineRule="auto"/>
              <w:jc w:val="both"/>
              <w:rPr>
                <w:rFonts w:ascii="Times New Roman" w:eastAsia="Times New Roman" w:hAnsi="Times New Roman" w:cs="Times New Roman"/>
                <w:kern w:val="0"/>
                <w:sz w:val="22"/>
                <w:szCs w:val="22"/>
                <w14:ligatures w14:val="none"/>
              </w:rPr>
            </w:pPr>
            <w:r w:rsidRPr="009877BF">
              <w:rPr>
                <w:rFonts w:ascii="Times New Roman" w:eastAsia="Times New Roman" w:hAnsi="Times New Roman" w:cs="Times New Roman"/>
                <w:kern w:val="0"/>
                <w:sz w:val="22"/>
                <w:szCs w:val="22"/>
                <w14:ligatures w14:val="none"/>
              </w:rPr>
              <w:t>Pre-launch audit + liability insurance</w:t>
            </w:r>
          </w:p>
        </w:tc>
      </w:tr>
      <w:tr w:rsidR="009877BF" w:rsidRPr="009877BF" w14:paraId="443C7603" w14:textId="77777777">
        <w:trPr>
          <w:tblCellSpacing w:w="15" w:type="dxa"/>
        </w:trPr>
        <w:tc>
          <w:tcPr>
            <w:tcW w:w="0" w:type="auto"/>
            <w:vAlign w:val="center"/>
            <w:hideMark/>
          </w:tcPr>
          <w:p w14:paraId="7F707CCE" w14:textId="77777777" w:rsidR="009877BF" w:rsidRPr="009877BF" w:rsidRDefault="009877BF" w:rsidP="009877BF">
            <w:pPr>
              <w:spacing w:after="0" w:line="240" w:lineRule="auto"/>
              <w:jc w:val="both"/>
              <w:rPr>
                <w:rFonts w:ascii="Times New Roman" w:eastAsia="Times New Roman" w:hAnsi="Times New Roman" w:cs="Times New Roman"/>
                <w:kern w:val="0"/>
                <w:sz w:val="22"/>
                <w:szCs w:val="22"/>
                <w14:ligatures w14:val="none"/>
              </w:rPr>
            </w:pPr>
            <w:r w:rsidRPr="009877BF">
              <w:rPr>
                <w:rFonts w:ascii="Times New Roman" w:eastAsia="Times New Roman" w:hAnsi="Times New Roman" w:cs="Times New Roman"/>
                <w:kern w:val="0"/>
                <w:sz w:val="22"/>
                <w:szCs w:val="22"/>
                <w14:ligatures w14:val="none"/>
              </w:rPr>
              <w:t>R-003 Market Expansion</w:t>
            </w:r>
          </w:p>
        </w:tc>
        <w:tc>
          <w:tcPr>
            <w:tcW w:w="0" w:type="auto"/>
            <w:vAlign w:val="center"/>
            <w:hideMark/>
          </w:tcPr>
          <w:p w14:paraId="1970EE7D" w14:textId="77777777" w:rsidR="009877BF" w:rsidRPr="009877BF" w:rsidRDefault="009877BF" w:rsidP="009877BF">
            <w:pPr>
              <w:spacing w:after="0" w:line="240" w:lineRule="auto"/>
              <w:jc w:val="both"/>
              <w:rPr>
                <w:rFonts w:ascii="Times New Roman" w:eastAsia="Times New Roman" w:hAnsi="Times New Roman" w:cs="Times New Roman"/>
                <w:kern w:val="0"/>
                <w:sz w:val="22"/>
                <w:szCs w:val="22"/>
                <w14:ligatures w14:val="none"/>
              </w:rPr>
            </w:pPr>
            <w:r w:rsidRPr="009877BF">
              <w:rPr>
                <w:rFonts w:ascii="Times New Roman" w:eastAsia="Times New Roman" w:hAnsi="Times New Roman" w:cs="Times New Roman"/>
                <w:kern w:val="0"/>
                <w:sz w:val="22"/>
                <w:szCs w:val="22"/>
                <w14:ligatures w14:val="none"/>
              </w:rPr>
              <w:t>Exploit + Enhance</w:t>
            </w:r>
          </w:p>
        </w:tc>
        <w:tc>
          <w:tcPr>
            <w:tcW w:w="0" w:type="auto"/>
            <w:vAlign w:val="center"/>
            <w:hideMark/>
          </w:tcPr>
          <w:p w14:paraId="1C79EA6F" w14:textId="77777777" w:rsidR="009877BF" w:rsidRPr="009877BF" w:rsidRDefault="009877BF" w:rsidP="009877BF">
            <w:pPr>
              <w:spacing w:after="0" w:line="240" w:lineRule="auto"/>
              <w:jc w:val="both"/>
              <w:rPr>
                <w:rFonts w:ascii="Times New Roman" w:eastAsia="Times New Roman" w:hAnsi="Times New Roman" w:cs="Times New Roman"/>
                <w:kern w:val="0"/>
                <w:sz w:val="22"/>
                <w:szCs w:val="22"/>
                <w14:ligatures w14:val="none"/>
              </w:rPr>
            </w:pPr>
            <w:r w:rsidRPr="009877BF">
              <w:rPr>
                <w:rFonts w:ascii="Times New Roman" w:eastAsia="Times New Roman" w:hAnsi="Times New Roman" w:cs="Times New Roman"/>
                <w:kern w:val="0"/>
                <w:sz w:val="22"/>
                <w:szCs w:val="22"/>
                <w14:ligatures w14:val="none"/>
              </w:rPr>
              <w:t>Time-limited positive risk; passive acceptance forfeits $491.3M P50</w:t>
            </w:r>
          </w:p>
        </w:tc>
        <w:tc>
          <w:tcPr>
            <w:tcW w:w="0" w:type="auto"/>
            <w:vAlign w:val="center"/>
            <w:hideMark/>
          </w:tcPr>
          <w:p w14:paraId="0C236092" w14:textId="77777777" w:rsidR="009877BF" w:rsidRPr="009877BF" w:rsidRDefault="009877BF" w:rsidP="009877BF">
            <w:pPr>
              <w:spacing w:after="0" w:line="240" w:lineRule="auto"/>
              <w:jc w:val="both"/>
              <w:rPr>
                <w:rFonts w:ascii="Times New Roman" w:eastAsia="Times New Roman" w:hAnsi="Times New Roman" w:cs="Times New Roman"/>
                <w:kern w:val="0"/>
                <w:sz w:val="22"/>
                <w:szCs w:val="22"/>
                <w14:ligatures w14:val="none"/>
              </w:rPr>
            </w:pPr>
            <w:r w:rsidRPr="009877BF">
              <w:rPr>
                <w:rFonts w:ascii="Times New Roman" w:eastAsia="Times New Roman" w:hAnsi="Times New Roman" w:cs="Times New Roman"/>
                <w:kern w:val="0"/>
                <w:sz w:val="22"/>
                <w:szCs w:val="22"/>
                <w14:ligatures w14:val="none"/>
              </w:rPr>
              <w:t>Immediate migration campaign launch</w:t>
            </w:r>
          </w:p>
        </w:tc>
      </w:tr>
    </w:tbl>
    <w:p w14:paraId="09A37546" w14:textId="77777777" w:rsidR="009877BF" w:rsidRDefault="009877BF" w:rsidP="009877BF">
      <w:pPr>
        <w:jc w:val="both"/>
        <w:rPr>
          <w:rFonts w:ascii="Times New Roman" w:hAnsi="Times New Roman" w:cs="Times New Roman"/>
          <w:sz w:val="22"/>
          <w:szCs w:val="22"/>
          <w:lang w:val="en-US"/>
        </w:rPr>
      </w:pPr>
    </w:p>
    <w:p w14:paraId="5A579779" w14:textId="77777777" w:rsidR="00712F84" w:rsidRDefault="00712F84" w:rsidP="009877BF">
      <w:pPr>
        <w:jc w:val="both"/>
        <w:rPr>
          <w:rFonts w:ascii="Times New Roman" w:hAnsi="Times New Roman" w:cs="Times New Roman"/>
          <w:sz w:val="22"/>
          <w:szCs w:val="22"/>
          <w:lang w:val="en-US"/>
        </w:rPr>
      </w:pPr>
    </w:p>
    <w:p w14:paraId="52AF8D9B" w14:textId="77777777" w:rsidR="00712F84" w:rsidRDefault="00712F84" w:rsidP="009877BF">
      <w:pPr>
        <w:jc w:val="both"/>
        <w:rPr>
          <w:rFonts w:ascii="Times New Roman" w:hAnsi="Times New Roman" w:cs="Times New Roman"/>
          <w:sz w:val="22"/>
          <w:szCs w:val="22"/>
          <w:lang w:val="en-US"/>
        </w:rPr>
      </w:pPr>
    </w:p>
    <w:p w14:paraId="0D67AD38" w14:textId="77777777" w:rsidR="00712F84" w:rsidRDefault="00712F84" w:rsidP="009877BF">
      <w:pPr>
        <w:jc w:val="both"/>
        <w:rPr>
          <w:rFonts w:ascii="Times New Roman" w:hAnsi="Times New Roman" w:cs="Times New Roman"/>
          <w:sz w:val="22"/>
          <w:szCs w:val="22"/>
          <w:lang w:val="en-US"/>
        </w:rPr>
      </w:pPr>
    </w:p>
    <w:p w14:paraId="392B6545" w14:textId="77777777" w:rsidR="00712F84" w:rsidRDefault="00712F84" w:rsidP="009877BF">
      <w:pPr>
        <w:jc w:val="both"/>
        <w:rPr>
          <w:rFonts w:ascii="Times New Roman" w:hAnsi="Times New Roman" w:cs="Times New Roman"/>
          <w:sz w:val="22"/>
          <w:szCs w:val="22"/>
          <w:lang w:val="en-US"/>
        </w:rPr>
      </w:pPr>
    </w:p>
    <w:p w14:paraId="5E7671EB" w14:textId="77777777" w:rsidR="00712F84" w:rsidRPr="00712F84" w:rsidRDefault="00712F84" w:rsidP="00712F84">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712F84">
        <w:rPr>
          <w:rFonts w:ascii="Times New Roman" w:eastAsia="Times New Roman" w:hAnsi="Times New Roman" w:cs="Times New Roman"/>
          <w:b/>
          <w:bCs/>
          <w:color w:val="000000"/>
          <w:kern w:val="0"/>
          <w14:ligatures w14:val="none"/>
        </w:rPr>
        <w:t>References</w:t>
      </w:r>
    </w:p>
    <w:p w14:paraId="00FD3CB6" w14:textId="77777777" w:rsidR="00712F84" w:rsidRPr="00712F84" w:rsidRDefault="00712F84" w:rsidP="00712F84">
      <w:pPr>
        <w:spacing w:before="100" w:beforeAutospacing="1" w:after="100" w:afterAutospacing="1" w:line="240" w:lineRule="auto"/>
        <w:rPr>
          <w:rFonts w:ascii="Times New Roman" w:eastAsia="Times New Roman" w:hAnsi="Times New Roman" w:cs="Times New Roman"/>
          <w:color w:val="000000"/>
          <w:kern w:val="0"/>
          <w14:ligatures w14:val="none"/>
        </w:rPr>
      </w:pPr>
      <w:r w:rsidRPr="00712F84">
        <w:rPr>
          <w:rFonts w:ascii="Times New Roman" w:eastAsia="Times New Roman" w:hAnsi="Times New Roman" w:cs="Times New Roman"/>
          <w:color w:val="000000"/>
          <w:kern w:val="0"/>
          <w14:ligatures w14:val="none"/>
        </w:rPr>
        <w:t>BetaKit. (2025). </w:t>
      </w:r>
      <w:r w:rsidRPr="00712F84">
        <w:rPr>
          <w:rFonts w:ascii="Times New Roman" w:eastAsia="Times New Roman" w:hAnsi="Times New Roman" w:cs="Times New Roman"/>
          <w:i/>
          <w:iCs/>
          <w:color w:val="000000"/>
          <w:kern w:val="0"/>
          <w14:ligatures w14:val="none"/>
        </w:rPr>
        <w:t>Shopify acquires Vantage Discovery.</w:t>
      </w:r>
      <w:r w:rsidRPr="00712F84">
        <w:rPr>
          <w:rFonts w:ascii="Times New Roman" w:eastAsia="Times New Roman" w:hAnsi="Times New Roman" w:cs="Times New Roman"/>
          <w:color w:val="000000"/>
          <w:kern w:val="0"/>
          <w14:ligatures w14:val="none"/>
        </w:rPr>
        <w:t> </w:t>
      </w:r>
      <w:hyperlink r:id="rId5" w:history="1">
        <w:r w:rsidRPr="00712F84">
          <w:rPr>
            <w:rFonts w:ascii="Times New Roman" w:eastAsia="Times New Roman" w:hAnsi="Times New Roman" w:cs="Times New Roman"/>
            <w:color w:val="0000FF"/>
            <w:kern w:val="0"/>
            <w:u w:val="single"/>
            <w14:ligatures w14:val="none"/>
          </w:rPr>
          <w:t>https://betakit.com</w:t>
        </w:r>
      </w:hyperlink>
    </w:p>
    <w:p w14:paraId="0E0EBAA8" w14:textId="77777777" w:rsidR="00712F84" w:rsidRPr="00712F84" w:rsidRDefault="00712F84" w:rsidP="00712F84">
      <w:pPr>
        <w:spacing w:before="100" w:beforeAutospacing="1" w:after="100" w:afterAutospacing="1" w:line="240" w:lineRule="auto"/>
        <w:rPr>
          <w:rFonts w:ascii="Times New Roman" w:eastAsia="Times New Roman" w:hAnsi="Times New Roman" w:cs="Times New Roman"/>
          <w:color w:val="000000"/>
          <w:kern w:val="0"/>
          <w14:ligatures w14:val="none"/>
        </w:rPr>
      </w:pPr>
      <w:r w:rsidRPr="00712F84">
        <w:rPr>
          <w:rFonts w:ascii="Times New Roman" w:eastAsia="Times New Roman" w:hAnsi="Times New Roman" w:cs="Times New Roman"/>
          <w:color w:val="000000"/>
          <w:kern w:val="0"/>
          <w14:ligatures w14:val="none"/>
        </w:rPr>
        <w:t>COSO. (2017). </w:t>
      </w:r>
      <w:r w:rsidRPr="00712F84">
        <w:rPr>
          <w:rFonts w:ascii="Times New Roman" w:eastAsia="Times New Roman" w:hAnsi="Times New Roman" w:cs="Times New Roman"/>
          <w:i/>
          <w:iCs/>
          <w:color w:val="000000"/>
          <w:kern w:val="0"/>
          <w14:ligatures w14:val="none"/>
        </w:rPr>
        <w:t>Enterprise risk management: Integrating with strategy and performance.</w:t>
      </w:r>
      <w:r w:rsidRPr="00712F84">
        <w:rPr>
          <w:rFonts w:ascii="Times New Roman" w:eastAsia="Times New Roman" w:hAnsi="Times New Roman" w:cs="Times New Roman"/>
          <w:color w:val="000000"/>
          <w:kern w:val="0"/>
          <w14:ligatures w14:val="none"/>
        </w:rPr>
        <w:t> COSO.</w:t>
      </w:r>
    </w:p>
    <w:p w14:paraId="661B7CC5" w14:textId="77777777" w:rsidR="00712F84" w:rsidRPr="00712F84" w:rsidRDefault="00712F84" w:rsidP="00712F84">
      <w:pPr>
        <w:spacing w:before="100" w:beforeAutospacing="1" w:after="100" w:afterAutospacing="1" w:line="240" w:lineRule="auto"/>
        <w:rPr>
          <w:rFonts w:ascii="Times New Roman" w:eastAsia="Times New Roman" w:hAnsi="Times New Roman" w:cs="Times New Roman"/>
          <w:color w:val="000000"/>
          <w:kern w:val="0"/>
          <w14:ligatures w14:val="none"/>
        </w:rPr>
      </w:pPr>
      <w:r w:rsidRPr="00712F84">
        <w:rPr>
          <w:rFonts w:ascii="Times New Roman" w:eastAsia="Times New Roman" w:hAnsi="Times New Roman" w:cs="Times New Roman"/>
          <w:color w:val="000000"/>
          <w:kern w:val="0"/>
          <w14:ligatures w14:val="none"/>
        </w:rPr>
        <w:t>Hopkin, P. (2018). </w:t>
      </w:r>
      <w:r w:rsidRPr="00712F84">
        <w:rPr>
          <w:rFonts w:ascii="Times New Roman" w:eastAsia="Times New Roman" w:hAnsi="Times New Roman" w:cs="Times New Roman"/>
          <w:i/>
          <w:iCs/>
          <w:color w:val="000000"/>
          <w:kern w:val="0"/>
          <w14:ligatures w14:val="none"/>
        </w:rPr>
        <w:t>Fundamentals of risk management</w:t>
      </w:r>
      <w:r w:rsidRPr="00712F84">
        <w:rPr>
          <w:rFonts w:ascii="Times New Roman" w:eastAsia="Times New Roman" w:hAnsi="Times New Roman" w:cs="Times New Roman"/>
          <w:color w:val="000000"/>
          <w:kern w:val="0"/>
          <w14:ligatures w14:val="none"/>
        </w:rPr>
        <w:t> (4th ed.). Kogan Page.</w:t>
      </w:r>
    </w:p>
    <w:p w14:paraId="478E90AF" w14:textId="77777777" w:rsidR="00712F84" w:rsidRPr="00712F84" w:rsidRDefault="00712F84" w:rsidP="00712F84">
      <w:pPr>
        <w:spacing w:before="100" w:beforeAutospacing="1" w:after="100" w:afterAutospacing="1" w:line="240" w:lineRule="auto"/>
        <w:rPr>
          <w:rFonts w:ascii="Times New Roman" w:eastAsia="Times New Roman" w:hAnsi="Times New Roman" w:cs="Times New Roman"/>
          <w:color w:val="000000"/>
          <w:kern w:val="0"/>
          <w14:ligatures w14:val="none"/>
        </w:rPr>
      </w:pPr>
      <w:r w:rsidRPr="00712F84">
        <w:rPr>
          <w:rFonts w:ascii="Times New Roman" w:eastAsia="Times New Roman" w:hAnsi="Times New Roman" w:cs="Times New Roman"/>
          <w:color w:val="000000"/>
          <w:kern w:val="0"/>
          <w14:ligatures w14:val="none"/>
        </w:rPr>
        <w:t>Recurly. (2024). </w:t>
      </w:r>
      <w:r w:rsidRPr="00712F84">
        <w:rPr>
          <w:rFonts w:ascii="Times New Roman" w:eastAsia="Times New Roman" w:hAnsi="Times New Roman" w:cs="Times New Roman"/>
          <w:i/>
          <w:iCs/>
          <w:color w:val="000000"/>
          <w:kern w:val="0"/>
          <w14:ligatures w14:val="none"/>
        </w:rPr>
        <w:t>Subscription benchmarking report.</w:t>
      </w:r>
      <w:r w:rsidRPr="00712F84">
        <w:rPr>
          <w:rFonts w:ascii="Times New Roman" w:eastAsia="Times New Roman" w:hAnsi="Times New Roman" w:cs="Times New Roman"/>
          <w:color w:val="000000"/>
          <w:kern w:val="0"/>
          <w14:ligatures w14:val="none"/>
        </w:rPr>
        <w:t> </w:t>
      </w:r>
      <w:hyperlink r:id="rId6" w:history="1">
        <w:r w:rsidRPr="00712F84">
          <w:rPr>
            <w:rFonts w:ascii="Times New Roman" w:eastAsia="Times New Roman" w:hAnsi="Times New Roman" w:cs="Times New Roman"/>
            <w:color w:val="0000FF"/>
            <w:kern w:val="0"/>
            <w:u w:val="single"/>
            <w14:ligatures w14:val="none"/>
          </w:rPr>
          <w:t>https://recurly.com</w:t>
        </w:r>
      </w:hyperlink>
    </w:p>
    <w:p w14:paraId="43515627" w14:textId="77777777" w:rsidR="00712F84" w:rsidRPr="00712F84" w:rsidRDefault="00712F84" w:rsidP="00712F84">
      <w:pPr>
        <w:spacing w:before="100" w:beforeAutospacing="1" w:after="100" w:afterAutospacing="1" w:line="240" w:lineRule="auto"/>
        <w:rPr>
          <w:rFonts w:ascii="Times New Roman" w:eastAsia="Times New Roman" w:hAnsi="Times New Roman" w:cs="Times New Roman"/>
          <w:color w:val="000000"/>
          <w:kern w:val="0"/>
          <w14:ligatures w14:val="none"/>
        </w:rPr>
      </w:pPr>
      <w:r w:rsidRPr="00712F84">
        <w:rPr>
          <w:rFonts w:ascii="Times New Roman" w:eastAsia="Times New Roman" w:hAnsi="Times New Roman" w:cs="Times New Roman"/>
          <w:color w:val="000000"/>
          <w:kern w:val="0"/>
          <w14:ligatures w14:val="none"/>
        </w:rPr>
        <w:t>Shopify Inc. (2026). </w:t>
      </w:r>
      <w:r w:rsidRPr="00712F84">
        <w:rPr>
          <w:rFonts w:ascii="Times New Roman" w:eastAsia="Times New Roman" w:hAnsi="Times New Roman" w:cs="Times New Roman"/>
          <w:i/>
          <w:iCs/>
          <w:color w:val="000000"/>
          <w:kern w:val="0"/>
          <w14:ligatures w14:val="none"/>
        </w:rPr>
        <w:t>Q1 2026 earnings press release</w:t>
      </w:r>
      <w:r w:rsidRPr="00712F84">
        <w:rPr>
          <w:rFonts w:ascii="Times New Roman" w:eastAsia="Times New Roman" w:hAnsi="Times New Roman" w:cs="Times New Roman"/>
          <w:color w:val="000000"/>
          <w:kern w:val="0"/>
          <w14:ligatures w14:val="none"/>
        </w:rPr>
        <w:t> [Form 8-K]. SEC EDGAR. </w:t>
      </w:r>
      <w:hyperlink r:id="rId7" w:history="1">
        <w:r w:rsidRPr="00712F84">
          <w:rPr>
            <w:rFonts w:ascii="Times New Roman" w:eastAsia="Times New Roman" w:hAnsi="Times New Roman" w:cs="Times New Roman"/>
            <w:color w:val="0000FF"/>
            <w:kern w:val="0"/>
            <w:u w:val="single"/>
            <w14:ligatures w14:val="none"/>
          </w:rPr>
          <w:t>https://www.sec.gov</w:t>
        </w:r>
      </w:hyperlink>
    </w:p>
    <w:p w14:paraId="2262E213" w14:textId="77777777" w:rsidR="00712F84" w:rsidRPr="00712F84" w:rsidRDefault="00712F84" w:rsidP="00712F84">
      <w:pPr>
        <w:spacing w:before="100" w:beforeAutospacing="1" w:after="100" w:afterAutospacing="1" w:line="240" w:lineRule="auto"/>
        <w:rPr>
          <w:rFonts w:ascii="Times New Roman" w:eastAsia="Times New Roman" w:hAnsi="Times New Roman" w:cs="Times New Roman"/>
          <w:color w:val="000000"/>
          <w:kern w:val="0"/>
          <w14:ligatures w14:val="none"/>
        </w:rPr>
      </w:pPr>
      <w:r w:rsidRPr="00712F84">
        <w:rPr>
          <w:rFonts w:ascii="Times New Roman" w:eastAsia="Times New Roman" w:hAnsi="Times New Roman" w:cs="Times New Roman"/>
          <w:color w:val="000000"/>
          <w:kern w:val="0"/>
          <w14:ligatures w14:val="none"/>
        </w:rPr>
        <w:t>Turi, A. N. (2026). </w:t>
      </w:r>
      <w:r w:rsidRPr="00712F84">
        <w:rPr>
          <w:rFonts w:ascii="Times New Roman" w:eastAsia="Times New Roman" w:hAnsi="Times New Roman" w:cs="Times New Roman"/>
          <w:i/>
          <w:iCs/>
          <w:color w:val="000000"/>
          <w:kern w:val="0"/>
          <w14:ligatures w14:val="none"/>
        </w:rPr>
        <w:t>ALY 6130 course materials.</w:t>
      </w:r>
      <w:r w:rsidRPr="00712F84">
        <w:rPr>
          <w:rFonts w:ascii="Times New Roman" w:eastAsia="Times New Roman" w:hAnsi="Times New Roman" w:cs="Times New Roman"/>
          <w:color w:val="000000"/>
          <w:kern w:val="0"/>
          <w14:ligatures w14:val="none"/>
        </w:rPr>
        <w:t> Northeastern University.</w:t>
      </w:r>
    </w:p>
    <w:p w14:paraId="2A3A2025" w14:textId="77777777" w:rsidR="00712F84" w:rsidRPr="009877BF" w:rsidRDefault="00712F84" w:rsidP="009877BF">
      <w:pPr>
        <w:jc w:val="both"/>
        <w:rPr>
          <w:rFonts w:ascii="Times New Roman" w:hAnsi="Times New Roman" w:cs="Times New Roman"/>
          <w:sz w:val="22"/>
          <w:szCs w:val="22"/>
          <w:lang w:val="en-US"/>
        </w:rPr>
      </w:pPr>
    </w:p>
    <w:sectPr w:rsidR="00712F84" w:rsidRPr="009877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EB7C99"/>
    <w:multiLevelType w:val="multilevel"/>
    <w:tmpl w:val="9180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81E62"/>
    <w:multiLevelType w:val="multilevel"/>
    <w:tmpl w:val="8912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8C36AF"/>
    <w:multiLevelType w:val="multilevel"/>
    <w:tmpl w:val="32D6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410900">
    <w:abstractNumId w:val="0"/>
  </w:num>
  <w:num w:numId="2" w16cid:durableId="1974288736">
    <w:abstractNumId w:val="2"/>
  </w:num>
  <w:num w:numId="3" w16cid:durableId="54699429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BF"/>
    <w:rsid w:val="00493C5A"/>
    <w:rsid w:val="005F25CF"/>
    <w:rsid w:val="00712F84"/>
    <w:rsid w:val="009877BF"/>
    <w:rsid w:val="00F6335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FEE0F"/>
  <w15:chartTrackingRefBased/>
  <w15:docId w15:val="{C940D809-C0A6-3343-BA23-0F3C66D38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7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87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7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87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BF"/>
    <w:rPr>
      <w:rFonts w:eastAsiaTheme="majorEastAsia" w:cstheme="majorBidi"/>
      <w:color w:val="272727" w:themeColor="text1" w:themeTint="D8"/>
    </w:rPr>
  </w:style>
  <w:style w:type="paragraph" w:styleId="Title">
    <w:name w:val="Title"/>
    <w:basedOn w:val="Normal"/>
    <w:next w:val="Normal"/>
    <w:link w:val="TitleChar"/>
    <w:uiPriority w:val="10"/>
    <w:qFormat/>
    <w:rsid w:val="00987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BF"/>
    <w:pPr>
      <w:spacing w:before="160"/>
      <w:jc w:val="center"/>
    </w:pPr>
    <w:rPr>
      <w:i/>
      <w:iCs/>
      <w:color w:val="404040" w:themeColor="text1" w:themeTint="BF"/>
    </w:rPr>
  </w:style>
  <w:style w:type="character" w:customStyle="1" w:styleId="QuoteChar">
    <w:name w:val="Quote Char"/>
    <w:basedOn w:val="DefaultParagraphFont"/>
    <w:link w:val="Quote"/>
    <w:uiPriority w:val="29"/>
    <w:rsid w:val="009877BF"/>
    <w:rPr>
      <w:i/>
      <w:iCs/>
      <w:color w:val="404040" w:themeColor="text1" w:themeTint="BF"/>
    </w:rPr>
  </w:style>
  <w:style w:type="paragraph" w:styleId="ListParagraph">
    <w:name w:val="List Paragraph"/>
    <w:basedOn w:val="Normal"/>
    <w:uiPriority w:val="34"/>
    <w:qFormat/>
    <w:rsid w:val="009877BF"/>
    <w:pPr>
      <w:ind w:left="720"/>
      <w:contextualSpacing/>
    </w:pPr>
  </w:style>
  <w:style w:type="character" w:styleId="IntenseEmphasis">
    <w:name w:val="Intense Emphasis"/>
    <w:basedOn w:val="DefaultParagraphFont"/>
    <w:uiPriority w:val="21"/>
    <w:qFormat/>
    <w:rsid w:val="009877BF"/>
    <w:rPr>
      <w:i/>
      <w:iCs/>
      <w:color w:val="0F4761" w:themeColor="accent1" w:themeShade="BF"/>
    </w:rPr>
  </w:style>
  <w:style w:type="paragraph" w:styleId="IntenseQuote">
    <w:name w:val="Intense Quote"/>
    <w:basedOn w:val="Normal"/>
    <w:next w:val="Normal"/>
    <w:link w:val="IntenseQuoteChar"/>
    <w:uiPriority w:val="30"/>
    <w:qFormat/>
    <w:rsid w:val="00987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BF"/>
    <w:rPr>
      <w:i/>
      <w:iCs/>
      <w:color w:val="0F4761" w:themeColor="accent1" w:themeShade="BF"/>
    </w:rPr>
  </w:style>
  <w:style w:type="character" w:styleId="IntenseReference">
    <w:name w:val="Intense Reference"/>
    <w:basedOn w:val="DefaultParagraphFont"/>
    <w:uiPriority w:val="32"/>
    <w:qFormat/>
    <w:rsid w:val="009877BF"/>
    <w:rPr>
      <w:b/>
      <w:bCs/>
      <w:smallCaps/>
      <w:color w:val="0F4761" w:themeColor="accent1" w:themeShade="BF"/>
      <w:spacing w:val="5"/>
    </w:rPr>
  </w:style>
  <w:style w:type="paragraph" w:customStyle="1" w:styleId="font-claude-response-body">
    <w:name w:val="font-claude-response-body"/>
    <w:basedOn w:val="Normal"/>
    <w:rsid w:val="009877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77BF"/>
    <w:rPr>
      <w:b/>
      <w:bCs/>
    </w:rPr>
  </w:style>
  <w:style w:type="character" w:customStyle="1" w:styleId="apple-converted-space">
    <w:name w:val="apple-converted-space"/>
    <w:basedOn w:val="DefaultParagraphFont"/>
    <w:rsid w:val="009877BF"/>
  </w:style>
  <w:style w:type="character" w:styleId="Emphasis">
    <w:name w:val="Emphasis"/>
    <w:basedOn w:val="DefaultParagraphFont"/>
    <w:uiPriority w:val="20"/>
    <w:qFormat/>
    <w:rsid w:val="00712F84"/>
    <w:rPr>
      <w:i/>
      <w:iCs/>
    </w:rPr>
  </w:style>
  <w:style w:type="character" w:styleId="Hyperlink">
    <w:name w:val="Hyperlink"/>
    <w:basedOn w:val="DefaultParagraphFont"/>
    <w:uiPriority w:val="99"/>
    <w:semiHidden/>
    <w:unhideWhenUsed/>
    <w:rsid w:val="00712F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ec.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curly.com/" TargetMode="External"/><Relationship Id="rId5" Type="http://schemas.openxmlformats.org/officeDocument/2006/relationships/hyperlink" Target="https://betaki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1140</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Lucas Boye</dc:creator>
  <cp:keywords/>
  <dc:description/>
  <cp:lastModifiedBy>Terry Lucas Boye</cp:lastModifiedBy>
  <cp:revision>1</cp:revision>
  <dcterms:created xsi:type="dcterms:W3CDTF">2026-06-19T22:25:00Z</dcterms:created>
  <dcterms:modified xsi:type="dcterms:W3CDTF">2026-06-19T22:54:00Z</dcterms:modified>
</cp:coreProperties>
</file>