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400D4F" w:rsidRDefault="00000000">
      <w:pPr>
        <w:rPr>
          <w:rFonts w:ascii="Arial" w:eastAsia="Arial" w:hAnsi="Arial" w:cs="Arial"/>
          <w:b/>
          <w:bCs/>
          <w:sz w:val="20"/>
          <w:szCs w:val="20"/>
        </w:rPr>
      </w:pPr>
      <w:sdt>
        <w:sdtPr>
          <w:tag w:val="goog_rdk_0"/>
          <w:id w:val="118019303"/>
        </w:sdtPr>
        <w:sdtContent/>
      </w:sdt>
      <w:sdt>
        <w:sdtPr>
          <w:tag w:val="goog_rdk_1"/>
          <w:id w:val="-436903657"/>
        </w:sdtPr>
        <w:sdtContent/>
      </w:sdt>
      <w:sdt>
        <w:sdtPr>
          <w:tag w:val="goog_rdk_2"/>
          <w:id w:val="30018379"/>
        </w:sdtPr>
        <w:sdtContent/>
      </w:sdt>
      <w:r>
        <w:rPr>
          <w:rFonts w:ascii="Arial" w:eastAsia="Arial" w:hAnsi="Arial" w:cs="Arial"/>
          <w:b/>
          <w:bCs/>
          <w:sz w:val="20"/>
          <w:szCs w:val="20"/>
        </w:rPr>
        <w:t>PRESS RELEASE</w:t>
      </w:r>
      <w:r>
        <w:rPr>
          <w:rFonts w:ascii="Arial" w:eastAsia="Arial" w:hAnsi="Arial" w:cs="Arial"/>
          <w:b/>
          <w:bCs/>
          <w:sz w:val="20"/>
          <w:szCs w:val="20"/>
        </w:rPr>
        <w:tab/>
      </w:r>
      <w:r>
        <w:rPr>
          <w:rFonts w:ascii="Arial" w:eastAsia="Arial" w:hAnsi="Arial" w:cs="Arial"/>
          <w:b/>
          <w:bCs/>
          <w:sz w:val="20"/>
          <w:szCs w:val="20"/>
        </w:rPr>
        <w:tab/>
      </w:r>
      <w:r>
        <w:rPr>
          <w:rFonts w:ascii="Arial" w:eastAsia="Arial" w:hAnsi="Arial" w:cs="Arial"/>
          <w:b/>
          <w:bCs/>
          <w:sz w:val="20"/>
          <w:szCs w:val="20"/>
        </w:rPr>
        <w:tab/>
      </w:r>
      <w:r>
        <w:rPr>
          <w:rFonts w:ascii="Arial" w:eastAsia="Arial" w:hAnsi="Arial" w:cs="Arial"/>
          <w:b/>
          <w:bCs/>
          <w:sz w:val="20"/>
          <w:szCs w:val="20"/>
        </w:rPr>
        <w:tab/>
      </w:r>
      <w:r>
        <w:rPr>
          <w:rFonts w:ascii="Arial" w:eastAsia="Arial" w:hAnsi="Arial" w:cs="Arial"/>
          <w:b/>
          <w:bCs/>
          <w:sz w:val="20"/>
          <w:szCs w:val="20"/>
        </w:rPr>
        <w:tab/>
      </w:r>
      <w:r>
        <w:rPr>
          <w:rFonts w:ascii="Arial" w:eastAsia="Arial" w:hAnsi="Arial" w:cs="Arial"/>
          <w:b/>
          <w:bCs/>
          <w:sz w:val="20"/>
          <w:szCs w:val="20"/>
        </w:rPr>
        <w:tab/>
      </w:r>
      <w:r>
        <w:rPr>
          <w:rFonts w:ascii="Arial" w:eastAsia="Arial" w:hAnsi="Arial" w:cs="Arial"/>
          <w:b/>
          <w:bCs/>
          <w:sz w:val="20"/>
          <w:szCs w:val="20"/>
        </w:rPr>
        <w:tab/>
        <w:t xml:space="preserve"> 10 August 2026</w:t>
      </w:r>
      <w:r>
        <w:rPr>
          <w:rFonts w:ascii="Arial" w:eastAsia="Arial" w:hAnsi="Arial" w:cs="Arial"/>
          <w:b/>
          <w:bCs/>
          <w:sz w:val="20"/>
          <w:szCs w:val="20"/>
        </w:rPr>
        <w:br/>
      </w:r>
    </w:p>
    <w:p w14:paraId="00000002" w14:textId="77777777" w:rsidR="00400D4F" w:rsidRDefault="00000000">
      <w:pPr>
        <w:rPr>
          <w:rFonts w:ascii="Arial" w:eastAsia="Arial" w:hAnsi="Arial" w:cs="Arial"/>
          <w:b/>
          <w:bCs/>
          <w:sz w:val="20"/>
          <w:szCs w:val="20"/>
        </w:rPr>
      </w:pPr>
      <w:r>
        <w:rPr>
          <w:rFonts w:ascii="Arial" w:eastAsia="Arial" w:hAnsi="Arial" w:cs="Arial"/>
          <w:b/>
          <w:bCs/>
          <w:sz w:val="20"/>
          <w:szCs w:val="20"/>
        </w:rPr>
        <w:t>FOR IMMEDIATE RELEASE</w:t>
      </w:r>
    </w:p>
    <w:p w14:paraId="00000003" w14:textId="77777777" w:rsidR="00400D4F" w:rsidRDefault="00400D4F">
      <w:pPr>
        <w:rPr>
          <w:rFonts w:ascii="Arial" w:eastAsia="Arial" w:hAnsi="Arial" w:cs="Arial"/>
          <w:b/>
          <w:bCs/>
          <w:sz w:val="20"/>
          <w:szCs w:val="20"/>
        </w:rPr>
      </w:pPr>
    </w:p>
    <w:p w14:paraId="00000004" w14:textId="77777777" w:rsidR="00400D4F" w:rsidRDefault="00000000">
      <w:pPr>
        <w:jc w:val="center"/>
        <w:rPr>
          <w:rFonts w:ascii="Arial" w:eastAsia="Arial" w:hAnsi="Arial" w:cs="Arial"/>
          <w:b/>
          <w:bCs/>
          <w:sz w:val="20"/>
          <w:szCs w:val="20"/>
          <w:u w:val="single"/>
        </w:rPr>
      </w:pPr>
      <w:bookmarkStart w:id="0" w:name="_heading=h.cfyk2c7xh02u" w:colFirst="0" w:colLast="0"/>
      <w:bookmarkEnd w:id="0"/>
      <w:proofErr w:type="spellStart"/>
      <w:r>
        <w:rPr>
          <w:rFonts w:ascii="Arial" w:eastAsia="Arial" w:hAnsi="Arial" w:cs="Arial"/>
          <w:b/>
          <w:bCs/>
          <w:sz w:val="20"/>
          <w:szCs w:val="20"/>
          <w:u w:val="single"/>
        </w:rPr>
        <w:t>SPiCE</w:t>
      </w:r>
      <w:proofErr w:type="spellEnd"/>
      <w:r>
        <w:rPr>
          <w:rFonts w:ascii="Arial" w:eastAsia="Arial" w:hAnsi="Arial" w:cs="Arial"/>
          <w:b/>
          <w:bCs/>
          <w:sz w:val="20"/>
          <w:szCs w:val="20"/>
          <w:u w:val="single"/>
        </w:rPr>
        <w:t xml:space="preserve"> Central Asia 2026 to Spotlight Georgia’s iGaming Export Regime &amp; New Regional Opportunities</w:t>
      </w:r>
    </w:p>
    <w:p w14:paraId="00000005" w14:textId="77777777" w:rsidR="00400D4F" w:rsidRDefault="00400D4F">
      <w:pPr>
        <w:rPr>
          <w:rFonts w:ascii="Arial" w:eastAsia="Arial" w:hAnsi="Arial" w:cs="Arial"/>
          <w:sz w:val="20"/>
          <w:szCs w:val="20"/>
        </w:rPr>
      </w:pPr>
    </w:p>
    <w:p w14:paraId="00000006" w14:textId="77777777" w:rsidR="00400D4F" w:rsidRDefault="00000000">
      <w:pPr>
        <w:rPr>
          <w:rFonts w:ascii="Arial" w:eastAsia="Arial" w:hAnsi="Arial" w:cs="Arial"/>
          <w:sz w:val="20"/>
          <w:szCs w:val="20"/>
        </w:rPr>
      </w:pPr>
      <w:r>
        <w:rPr>
          <w:rFonts w:ascii="Arial" w:eastAsia="Arial" w:hAnsi="Arial" w:cs="Arial"/>
          <w:sz w:val="20"/>
          <w:szCs w:val="20"/>
        </w:rPr>
        <w:t xml:space="preserve">The 3rd annual </w:t>
      </w:r>
      <w:proofErr w:type="spellStart"/>
      <w:r>
        <w:rPr>
          <w:rFonts w:ascii="Arial" w:eastAsia="Arial" w:hAnsi="Arial" w:cs="Arial"/>
          <w:b/>
          <w:bCs/>
          <w:sz w:val="20"/>
          <w:szCs w:val="20"/>
        </w:rPr>
        <w:t>SPiCE</w:t>
      </w:r>
      <w:proofErr w:type="spellEnd"/>
      <w:r>
        <w:rPr>
          <w:rFonts w:ascii="Arial" w:eastAsia="Arial" w:hAnsi="Arial" w:cs="Arial"/>
          <w:b/>
          <w:bCs/>
          <w:sz w:val="20"/>
          <w:szCs w:val="20"/>
        </w:rPr>
        <w:t xml:space="preserve"> Central Asia 2026</w:t>
      </w:r>
      <w:r>
        <w:rPr>
          <w:rFonts w:ascii="Arial" w:eastAsia="Arial" w:hAnsi="Arial" w:cs="Arial"/>
          <w:sz w:val="20"/>
          <w:szCs w:val="20"/>
        </w:rPr>
        <w:t xml:space="preserve"> is just 6 weeks away, returning to </w:t>
      </w:r>
      <w:r>
        <w:rPr>
          <w:rFonts w:ascii="Arial" w:eastAsia="Arial" w:hAnsi="Arial" w:cs="Arial"/>
          <w:b/>
          <w:bCs/>
          <w:sz w:val="20"/>
          <w:szCs w:val="20"/>
        </w:rPr>
        <w:t>The Biltmore Hotel Tbilisi</w:t>
      </w:r>
      <w:r>
        <w:rPr>
          <w:rFonts w:ascii="Arial" w:eastAsia="Arial" w:hAnsi="Arial" w:cs="Arial"/>
          <w:sz w:val="20"/>
          <w:szCs w:val="20"/>
        </w:rPr>
        <w:t xml:space="preserve"> in </w:t>
      </w:r>
      <w:r>
        <w:rPr>
          <w:rFonts w:ascii="Arial" w:eastAsia="Arial" w:hAnsi="Arial" w:cs="Arial"/>
          <w:b/>
          <w:bCs/>
          <w:sz w:val="20"/>
          <w:szCs w:val="20"/>
        </w:rPr>
        <w:t>Georgia</w:t>
      </w:r>
      <w:r>
        <w:rPr>
          <w:rFonts w:ascii="Arial" w:eastAsia="Arial" w:hAnsi="Arial" w:cs="Arial"/>
          <w:sz w:val="20"/>
          <w:szCs w:val="20"/>
        </w:rPr>
        <w:t xml:space="preserve">, on </w:t>
      </w:r>
      <w:r>
        <w:rPr>
          <w:rFonts w:ascii="Arial" w:eastAsia="Arial" w:hAnsi="Arial" w:cs="Arial"/>
          <w:b/>
          <w:bCs/>
          <w:sz w:val="20"/>
          <w:szCs w:val="20"/>
        </w:rPr>
        <w:t>24 – 25 September</w:t>
      </w:r>
      <w:r>
        <w:rPr>
          <w:rFonts w:ascii="Arial" w:eastAsia="Arial" w:hAnsi="Arial" w:cs="Arial"/>
          <w:sz w:val="20"/>
          <w:szCs w:val="20"/>
        </w:rPr>
        <w:t xml:space="preserve"> to look at the regulatory changes, investment opportunities, technological developments and cross-border activity influencing the region.</w:t>
      </w:r>
    </w:p>
    <w:p w14:paraId="00000007" w14:textId="77777777" w:rsidR="00400D4F" w:rsidRDefault="00000000">
      <w:pPr>
        <w:rPr>
          <w:rFonts w:ascii="Arial" w:eastAsia="Arial" w:hAnsi="Arial" w:cs="Arial"/>
          <w:sz w:val="20"/>
          <w:szCs w:val="20"/>
        </w:rPr>
      </w:pPr>
      <w:r>
        <w:rPr>
          <w:rFonts w:ascii="Arial" w:eastAsia="Arial" w:hAnsi="Arial" w:cs="Arial"/>
          <w:sz w:val="20"/>
          <w:szCs w:val="20"/>
        </w:rPr>
        <w:t xml:space="preserve">Sitting at the intersection of Europe and Asia and becoming increasingly important to the Middle Corridor, Georgia is a useful base for connecting conversations across Central Asia and the Caucasus. There is no shortage of opportunities across the region, but there is also no single formula for approaching it. </w:t>
      </w:r>
      <w:proofErr w:type="spellStart"/>
      <w:r>
        <w:rPr>
          <w:rFonts w:ascii="Arial" w:eastAsia="Arial" w:hAnsi="Arial" w:cs="Arial"/>
          <w:b/>
          <w:bCs/>
          <w:sz w:val="20"/>
          <w:szCs w:val="20"/>
        </w:rPr>
        <w:t>SPiCE</w:t>
      </w:r>
      <w:proofErr w:type="spellEnd"/>
      <w:r>
        <w:rPr>
          <w:rFonts w:ascii="Arial" w:eastAsia="Arial" w:hAnsi="Arial" w:cs="Arial"/>
          <w:b/>
          <w:bCs/>
          <w:sz w:val="20"/>
          <w:szCs w:val="20"/>
        </w:rPr>
        <w:t xml:space="preserve"> Central Asia</w:t>
      </w:r>
      <w:r>
        <w:rPr>
          <w:rFonts w:ascii="Arial" w:eastAsia="Arial" w:hAnsi="Arial" w:cs="Arial"/>
          <w:sz w:val="20"/>
          <w:szCs w:val="20"/>
        </w:rPr>
        <w:t xml:space="preserve"> will bring together operators, affiliates and providers with a wealth of knowledge and experience working in these markets to share what they have found works, where the challenges remain and what is worth paying attention to.</w:t>
      </w:r>
    </w:p>
    <w:p w14:paraId="00000008" w14:textId="77777777" w:rsidR="00400D4F" w:rsidRDefault="00400D4F">
      <w:pPr>
        <w:rPr>
          <w:rFonts w:ascii="Arial" w:eastAsia="Arial" w:hAnsi="Arial" w:cs="Arial"/>
          <w:sz w:val="20"/>
          <w:szCs w:val="20"/>
        </w:rPr>
      </w:pPr>
    </w:p>
    <w:p w14:paraId="00000009" w14:textId="77777777" w:rsidR="00400D4F" w:rsidRDefault="00000000">
      <w:pPr>
        <w:rPr>
          <w:rFonts w:ascii="Arial" w:eastAsia="Arial" w:hAnsi="Arial" w:cs="Arial"/>
          <w:b/>
          <w:bCs/>
          <w:sz w:val="20"/>
          <w:szCs w:val="20"/>
        </w:rPr>
      </w:pPr>
      <w:r>
        <w:rPr>
          <w:rFonts w:ascii="Arial" w:eastAsia="Arial" w:hAnsi="Arial" w:cs="Arial"/>
          <w:b/>
          <w:bCs/>
          <w:sz w:val="20"/>
          <w:szCs w:val="20"/>
        </w:rPr>
        <w:t>Key Topics to Look Forward to</w:t>
      </w:r>
    </w:p>
    <w:p w14:paraId="0000000A" w14:textId="77777777" w:rsidR="00400D4F" w:rsidRDefault="00000000">
      <w:pPr>
        <w:rPr>
          <w:rFonts w:ascii="Arial" w:eastAsia="Arial" w:hAnsi="Arial" w:cs="Arial"/>
          <w:b/>
          <w:bCs/>
          <w:sz w:val="20"/>
          <w:szCs w:val="20"/>
        </w:rPr>
      </w:pPr>
      <w:r>
        <w:rPr>
          <w:rFonts w:ascii="Arial" w:eastAsia="Arial" w:hAnsi="Arial" w:cs="Arial"/>
          <w:b/>
          <w:bCs/>
          <w:sz w:val="20"/>
          <w:szCs w:val="20"/>
        </w:rPr>
        <w:t>Day 1 | Thursday, 24 September 2026</w:t>
      </w:r>
    </w:p>
    <w:p w14:paraId="0000000B" w14:textId="77777777" w:rsidR="00400D4F" w:rsidRDefault="00000000">
      <w:pPr>
        <w:numPr>
          <w:ilvl w:val="0"/>
          <w:numId w:val="1"/>
        </w:numPr>
        <w:pBdr>
          <w:top w:val="nil"/>
          <w:left w:val="nil"/>
          <w:bottom w:val="nil"/>
          <w:right w:val="nil"/>
          <w:between w:val="nil"/>
        </w:pBdr>
        <w:spacing w:after="0"/>
        <w:rPr>
          <w:i/>
          <w:iCs/>
          <w:color w:val="000000"/>
          <w:sz w:val="20"/>
          <w:szCs w:val="20"/>
        </w:rPr>
      </w:pPr>
      <w:r>
        <w:rPr>
          <w:rFonts w:ascii="Arial" w:eastAsia="Arial" w:hAnsi="Arial" w:cs="Arial"/>
          <w:i/>
          <w:iCs/>
          <w:color w:val="000000"/>
          <w:sz w:val="20"/>
          <w:szCs w:val="20"/>
        </w:rPr>
        <w:t>Central Asia’s Gaming Market: Regulation, Investment &amp; Future Growth</w:t>
      </w:r>
    </w:p>
    <w:p w14:paraId="0000000C" w14:textId="77777777" w:rsidR="00400D4F" w:rsidRDefault="00000000">
      <w:pPr>
        <w:numPr>
          <w:ilvl w:val="0"/>
          <w:numId w:val="1"/>
        </w:numPr>
        <w:pBdr>
          <w:top w:val="nil"/>
          <w:left w:val="nil"/>
          <w:bottom w:val="nil"/>
          <w:right w:val="nil"/>
          <w:between w:val="nil"/>
        </w:pBdr>
        <w:spacing w:after="0"/>
        <w:rPr>
          <w:i/>
          <w:iCs/>
          <w:color w:val="000000"/>
          <w:sz w:val="20"/>
          <w:szCs w:val="20"/>
        </w:rPr>
      </w:pPr>
      <w:r>
        <w:rPr>
          <w:rFonts w:ascii="Arial" w:eastAsia="Arial" w:hAnsi="Arial" w:cs="Arial"/>
          <w:i/>
          <w:iCs/>
          <w:color w:val="000000"/>
          <w:sz w:val="20"/>
          <w:szCs w:val="20"/>
        </w:rPr>
        <w:t>Channelisation &amp; Market Sustainability in Emerging Gaming Jurisdictions</w:t>
      </w:r>
    </w:p>
    <w:p w14:paraId="0000000D" w14:textId="77777777" w:rsidR="00400D4F" w:rsidRDefault="00000000">
      <w:pPr>
        <w:numPr>
          <w:ilvl w:val="0"/>
          <w:numId w:val="1"/>
        </w:numPr>
        <w:pBdr>
          <w:top w:val="nil"/>
          <w:left w:val="nil"/>
          <w:bottom w:val="nil"/>
          <w:right w:val="nil"/>
          <w:between w:val="nil"/>
        </w:pBdr>
        <w:rPr>
          <w:i/>
          <w:iCs/>
          <w:color w:val="000000"/>
          <w:sz w:val="20"/>
          <w:szCs w:val="20"/>
        </w:rPr>
      </w:pPr>
      <w:r>
        <w:rPr>
          <w:rFonts w:ascii="Arial" w:eastAsia="Arial" w:hAnsi="Arial" w:cs="Arial"/>
          <w:i/>
          <w:iCs/>
          <w:color w:val="000000"/>
          <w:sz w:val="20"/>
          <w:szCs w:val="20"/>
        </w:rPr>
        <w:t>Georgia's Export-Only Online Gaming Model: A New Opportunity for International Operators</w:t>
      </w:r>
    </w:p>
    <w:p w14:paraId="0000000E" w14:textId="77777777" w:rsidR="00400D4F" w:rsidRDefault="00400D4F">
      <w:pPr>
        <w:rPr>
          <w:rFonts w:ascii="Arial" w:eastAsia="Arial" w:hAnsi="Arial" w:cs="Arial"/>
          <w:sz w:val="20"/>
          <w:szCs w:val="20"/>
        </w:rPr>
      </w:pPr>
    </w:p>
    <w:p w14:paraId="0000000F" w14:textId="77777777" w:rsidR="00400D4F" w:rsidRDefault="00000000">
      <w:pPr>
        <w:rPr>
          <w:rFonts w:ascii="Arial" w:eastAsia="Arial" w:hAnsi="Arial" w:cs="Arial"/>
          <w:b/>
          <w:bCs/>
          <w:sz w:val="20"/>
          <w:szCs w:val="20"/>
        </w:rPr>
      </w:pPr>
      <w:r>
        <w:rPr>
          <w:rFonts w:ascii="Arial" w:eastAsia="Arial" w:hAnsi="Arial" w:cs="Arial"/>
          <w:b/>
          <w:bCs/>
          <w:sz w:val="20"/>
          <w:szCs w:val="20"/>
        </w:rPr>
        <w:t>Day 2 | Friday, 25 September 2026</w:t>
      </w:r>
    </w:p>
    <w:p w14:paraId="00000010" w14:textId="77777777" w:rsidR="00400D4F" w:rsidRDefault="00000000">
      <w:pPr>
        <w:numPr>
          <w:ilvl w:val="0"/>
          <w:numId w:val="2"/>
        </w:numPr>
        <w:pBdr>
          <w:top w:val="nil"/>
          <w:left w:val="nil"/>
          <w:bottom w:val="nil"/>
          <w:right w:val="nil"/>
          <w:between w:val="nil"/>
        </w:pBdr>
        <w:spacing w:after="0"/>
        <w:rPr>
          <w:i/>
          <w:iCs/>
          <w:color w:val="000000"/>
          <w:sz w:val="20"/>
          <w:szCs w:val="20"/>
        </w:rPr>
      </w:pPr>
      <w:r>
        <w:rPr>
          <w:rFonts w:ascii="Arial" w:eastAsia="Arial" w:hAnsi="Arial" w:cs="Arial"/>
          <w:i/>
          <w:iCs/>
          <w:color w:val="000000"/>
          <w:sz w:val="20"/>
          <w:szCs w:val="20"/>
        </w:rPr>
        <w:t>Fintech-Enabled Payments: Strengthening Trust &amp; Security in the Region’s Online Gaming Market</w:t>
      </w:r>
    </w:p>
    <w:p w14:paraId="00000011" w14:textId="77777777" w:rsidR="00400D4F" w:rsidRDefault="00000000">
      <w:pPr>
        <w:numPr>
          <w:ilvl w:val="0"/>
          <w:numId w:val="2"/>
        </w:numPr>
        <w:pBdr>
          <w:top w:val="nil"/>
          <w:left w:val="nil"/>
          <w:bottom w:val="nil"/>
          <w:right w:val="nil"/>
          <w:between w:val="nil"/>
        </w:pBdr>
        <w:spacing w:after="0"/>
        <w:rPr>
          <w:i/>
          <w:iCs/>
          <w:color w:val="000000"/>
          <w:sz w:val="20"/>
          <w:szCs w:val="20"/>
        </w:rPr>
      </w:pPr>
      <w:r>
        <w:rPr>
          <w:rFonts w:ascii="Arial" w:eastAsia="Arial" w:hAnsi="Arial" w:cs="Arial"/>
          <w:i/>
          <w:iCs/>
          <w:color w:val="000000"/>
          <w:sz w:val="20"/>
          <w:szCs w:val="20"/>
        </w:rPr>
        <w:t>Localisation Strategies That Drive Player Engagement</w:t>
      </w:r>
    </w:p>
    <w:p w14:paraId="00000012" w14:textId="77777777" w:rsidR="00400D4F" w:rsidRDefault="00000000">
      <w:pPr>
        <w:numPr>
          <w:ilvl w:val="0"/>
          <w:numId w:val="2"/>
        </w:numPr>
        <w:pBdr>
          <w:top w:val="nil"/>
          <w:left w:val="nil"/>
          <w:bottom w:val="nil"/>
          <w:right w:val="nil"/>
          <w:between w:val="nil"/>
        </w:pBdr>
        <w:rPr>
          <w:i/>
          <w:iCs/>
          <w:color w:val="000000"/>
          <w:sz w:val="20"/>
          <w:szCs w:val="20"/>
        </w:rPr>
      </w:pPr>
      <w:r>
        <w:rPr>
          <w:rFonts w:ascii="Arial" w:eastAsia="Arial" w:hAnsi="Arial" w:cs="Arial"/>
          <w:i/>
          <w:iCs/>
          <w:color w:val="000000"/>
          <w:sz w:val="20"/>
          <w:szCs w:val="20"/>
        </w:rPr>
        <w:t>Prediction Markets &amp; the Future of Digital Wagering: Where Are We Heading?</w:t>
      </w:r>
    </w:p>
    <w:p w14:paraId="00000013" w14:textId="77777777" w:rsidR="00400D4F" w:rsidRDefault="00400D4F">
      <w:pPr>
        <w:rPr>
          <w:rFonts w:ascii="Arial" w:eastAsia="Arial" w:hAnsi="Arial" w:cs="Arial"/>
          <w:sz w:val="20"/>
          <w:szCs w:val="20"/>
        </w:rPr>
      </w:pPr>
    </w:p>
    <w:p w14:paraId="00000014" w14:textId="77777777" w:rsidR="00400D4F" w:rsidRDefault="00000000">
      <w:pPr>
        <w:rPr>
          <w:rFonts w:ascii="Arial" w:eastAsia="Arial" w:hAnsi="Arial" w:cs="Arial"/>
          <w:b/>
          <w:bCs/>
          <w:sz w:val="20"/>
          <w:szCs w:val="20"/>
        </w:rPr>
      </w:pPr>
      <w:r>
        <w:rPr>
          <w:rFonts w:ascii="Arial" w:eastAsia="Arial" w:hAnsi="Arial" w:cs="Arial"/>
          <w:b/>
          <w:bCs/>
          <w:sz w:val="20"/>
          <w:szCs w:val="20"/>
        </w:rPr>
        <w:t>What the Region’s Industry Leaders Will Be Covering</w:t>
      </w:r>
    </w:p>
    <w:p w14:paraId="00000015" w14:textId="77777777" w:rsidR="00400D4F" w:rsidRDefault="00000000">
      <w:pPr>
        <w:rPr>
          <w:rFonts w:ascii="Arial" w:eastAsia="Arial" w:hAnsi="Arial" w:cs="Arial"/>
          <w:sz w:val="20"/>
          <w:szCs w:val="20"/>
        </w:rPr>
      </w:pPr>
      <w:r>
        <w:rPr>
          <w:rFonts w:ascii="Arial" w:eastAsia="Arial" w:hAnsi="Arial" w:cs="Arial"/>
          <w:sz w:val="20"/>
          <w:szCs w:val="20"/>
        </w:rPr>
        <w:t xml:space="preserve">Representing </w:t>
      </w:r>
      <w:r>
        <w:rPr>
          <w:rFonts w:ascii="Arial" w:eastAsia="Arial" w:hAnsi="Arial" w:cs="Arial"/>
          <w:b/>
          <w:bCs/>
          <w:sz w:val="20"/>
          <w:szCs w:val="20"/>
        </w:rPr>
        <w:t>Casino Adjara</w:t>
      </w:r>
      <w:r>
        <w:rPr>
          <w:rFonts w:ascii="Arial" w:eastAsia="Arial" w:hAnsi="Arial" w:cs="Arial"/>
          <w:sz w:val="20"/>
          <w:szCs w:val="20"/>
        </w:rPr>
        <w:t xml:space="preserve">, </w:t>
      </w:r>
      <w:r>
        <w:rPr>
          <w:rFonts w:ascii="Arial" w:eastAsia="Arial" w:hAnsi="Arial" w:cs="Arial"/>
          <w:b/>
          <w:bCs/>
          <w:sz w:val="20"/>
          <w:szCs w:val="20"/>
        </w:rPr>
        <w:t>Maka Gorgadze</w:t>
      </w:r>
      <w:r>
        <w:rPr>
          <w:rFonts w:ascii="Arial" w:eastAsia="Arial" w:hAnsi="Arial" w:cs="Arial"/>
          <w:sz w:val="20"/>
          <w:szCs w:val="20"/>
        </w:rPr>
        <w:t xml:space="preserve"> will join the conversation on prediction markets and the future of digital wagering: </w:t>
      </w:r>
    </w:p>
    <w:p w14:paraId="00000016" w14:textId="77777777" w:rsidR="00400D4F" w:rsidRDefault="00000000">
      <w:pPr>
        <w:ind w:left="720"/>
        <w:rPr>
          <w:rFonts w:ascii="Arial" w:eastAsia="Arial" w:hAnsi="Arial" w:cs="Arial"/>
          <w:sz w:val="20"/>
          <w:szCs w:val="20"/>
        </w:rPr>
      </w:pPr>
      <w:r>
        <w:rPr>
          <w:rFonts w:ascii="Arial" w:eastAsia="Arial" w:hAnsi="Arial" w:cs="Arial"/>
          <w:i/>
          <w:iCs/>
          <w:sz w:val="20"/>
          <w:szCs w:val="20"/>
        </w:rPr>
        <w:t>“The gaming industry is changing rapidly as digital technologies reshape how operators reach players and how markets continue to evolve. I’ll share my perspective on the growing role of digital marketing, the relationship between online and land-based gaming, and how developments across the region – including new markets opening to gaming – may influence the future of the industry in Georgia and beyond.”</w:t>
      </w:r>
    </w:p>
    <w:p w14:paraId="00000017" w14:textId="77777777" w:rsidR="00400D4F" w:rsidRDefault="00000000">
      <w:pPr>
        <w:rPr>
          <w:rFonts w:ascii="Arial" w:eastAsia="Arial" w:hAnsi="Arial" w:cs="Arial"/>
          <w:sz w:val="20"/>
          <w:szCs w:val="20"/>
        </w:rPr>
      </w:pPr>
      <w:r>
        <w:rPr>
          <w:rFonts w:ascii="Arial" w:eastAsia="Arial" w:hAnsi="Arial" w:cs="Arial"/>
          <w:sz w:val="20"/>
          <w:szCs w:val="20"/>
        </w:rPr>
        <w:t xml:space="preserve">She will also weigh in on channelisation and market sustainability in emerging gaming jurisdictions: </w:t>
      </w:r>
    </w:p>
    <w:p w14:paraId="00000018" w14:textId="77777777" w:rsidR="00400D4F" w:rsidRDefault="00000000">
      <w:pPr>
        <w:ind w:left="720"/>
        <w:rPr>
          <w:rFonts w:ascii="Arial" w:eastAsia="Arial" w:hAnsi="Arial" w:cs="Arial"/>
          <w:sz w:val="20"/>
          <w:szCs w:val="20"/>
        </w:rPr>
      </w:pPr>
      <w:r>
        <w:rPr>
          <w:rFonts w:ascii="Arial" w:eastAsia="Arial" w:hAnsi="Arial" w:cs="Arial"/>
          <w:i/>
          <w:iCs/>
          <w:sz w:val="20"/>
          <w:szCs w:val="20"/>
        </w:rPr>
        <w:t xml:space="preserve">“I’m looking forward to sharing Georgia’s experience in developing a well-regulated gaming market and the steps taken to strengthen player protection and reduce illegal gambling. My session will focus on recent regulatory developments in Georgia, how compliance is </w:t>
      </w:r>
      <w:r>
        <w:rPr>
          <w:rFonts w:ascii="Arial" w:eastAsia="Arial" w:hAnsi="Arial" w:cs="Arial"/>
          <w:i/>
          <w:iCs/>
          <w:sz w:val="20"/>
          <w:szCs w:val="20"/>
        </w:rPr>
        <w:lastRenderedPageBreak/>
        <w:t>monitored in land-based casinos, and why effective regulation and building trust are essential for a sustainable gaming market.”</w:t>
      </w:r>
    </w:p>
    <w:p w14:paraId="00000019" w14:textId="77777777" w:rsidR="00400D4F" w:rsidRDefault="00400D4F">
      <w:pPr>
        <w:rPr>
          <w:rFonts w:ascii="Arial" w:eastAsia="Arial" w:hAnsi="Arial" w:cs="Arial"/>
          <w:sz w:val="20"/>
          <w:szCs w:val="20"/>
        </w:rPr>
      </w:pPr>
    </w:p>
    <w:p w14:paraId="0000001A" w14:textId="77777777" w:rsidR="00400D4F" w:rsidRDefault="00000000">
      <w:pPr>
        <w:rPr>
          <w:rFonts w:ascii="Arial" w:eastAsia="Arial" w:hAnsi="Arial" w:cs="Arial"/>
          <w:sz w:val="20"/>
          <w:szCs w:val="20"/>
        </w:rPr>
      </w:pPr>
      <w:r>
        <w:rPr>
          <w:rFonts w:ascii="Arial" w:eastAsia="Arial" w:hAnsi="Arial" w:cs="Arial"/>
          <w:b/>
          <w:bCs/>
          <w:sz w:val="20"/>
          <w:szCs w:val="20"/>
        </w:rPr>
        <w:t>Sergei Mosolov</w:t>
      </w:r>
      <w:r>
        <w:rPr>
          <w:rFonts w:ascii="Arial" w:eastAsia="Arial" w:hAnsi="Arial" w:cs="Arial"/>
          <w:sz w:val="20"/>
          <w:szCs w:val="20"/>
        </w:rPr>
        <w:t xml:space="preserve">, Head of Sportsbook at </w:t>
      </w:r>
      <w:r>
        <w:rPr>
          <w:rFonts w:ascii="Arial" w:eastAsia="Arial" w:hAnsi="Arial" w:cs="Arial"/>
          <w:b/>
          <w:bCs/>
          <w:sz w:val="20"/>
          <w:szCs w:val="20"/>
        </w:rPr>
        <w:t>Deep Games</w:t>
      </w:r>
      <w:r>
        <w:rPr>
          <w:rFonts w:ascii="Arial" w:eastAsia="Arial" w:hAnsi="Arial" w:cs="Arial"/>
          <w:sz w:val="20"/>
          <w:szCs w:val="20"/>
        </w:rPr>
        <w:t xml:space="preserve">, will explore why successful localisation requires far more than simply translating a platform: </w:t>
      </w:r>
    </w:p>
    <w:p w14:paraId="0000001B" w14:textId="77777777" w:rsidR="00400D4F" w:rsidRDefault="00000000">
      <w:pPr>
        <w:ind w:left="720"/>
        <w:rPr>
          <w:rFonts w:ascii="Arial" w:eastAsia="Arial" w:hAnsi="Arial" w:cs="Arial"/>
          <w:i/>
          <w:iCs/>
          <w:sz w:val="20"/>
          <w:szCs w:val="20"/>
        </w:rPr>
      </w:pPr>
      <w:r>
        <w:rPr>
          <w:rFonts w:ascii="Arial" w:eastAsia="Arial" w:hAnsi="Arial" w:cs="Arial"/>
          <w:i/>
          <w:iCs/>
          <w:sz w:val="20"/>
          <w:szCs w:val="20"/>
        </w:rPr>
        <w:t>“Drawing on my experience supporting sportsbook operations and launches across multiple international markets, I will discuss how sports content, product features, promotions and customer communication should be adapted to local player behaviour. There is no universal playbook – the strongest products combine global expertise with a genuine understanding of each market.”</w:t>
      </w:r>
    </w:p>
    <w:p w14:paraId="0000001C" w14:textId="77777777" w:rsidR="00400D4F" w:rsidRDefault="00400D4F">
      <w:pPr>
        <w:rPr>
          <w:rFonts w:ascii="Arial" w:eastAsia="Arial" w:hAnsi="Arial" w:cs="Arial"/>
          <w:sz w:val="20"/>
          <w:szCs w:val="20"/>
        </w:rPr>
      </w:pPr>
    </w:p>
    <w:p w14:paraId="0000001D" w14:textId="77777777" w:rsidR="00400D4F" w:rsidRDefault="00000000">
      <w:pPr>
        <w:rPr>
          <w:rFonts w:ascii="Arial" w:eastAsia="Arial" w:hAnsi="Arial" w:cs="Arial"/>
          <w:sz w:val="20"/>
          <w:szCs w:val="20"/>
        </w:rPr>
      </w:pPr>
      <w:r>
        <w:rPr>
          <w:rFonts w:ascii="Arial" w:eastAsia="Arial" w:hAnsi="Arial" w:cs="Arial"/>
          <w:sz w:val="20"/>
          <w:szCs w:val="20"/>
        </w:rPr>
        <w:t xml:space="preserve">The growing role of AI in risk management will be a focus for Senior Fraud Analyst </w:t>
      </w:r>
      <w:r>
        <w:rPr>
          <w:rFonts w:ascii="Arial" w:eastAsia="Arial" w:hAnsi="Arial" w:cs="Arial"/>
          <w:b/>
          <w:bCs/>
          <w:sz w:val="20"/>
          <w:szCs w:val="20"/>
        </w:rPr>
        <w:t>Gigi Giorgobiani</w:t>
      </w:r>
      <w:r>
        <w:rPr>
          <w:rFonts w:ascii="Arial" w:eastAsia="Arial" w:hAnsi="Arial" w:cs="Arial"/>
          <w:sz w:val="20"/>
          <w:szCs w:val="20"/>
        </w:rPr>
        <w:t xml:space="preserve">: </w:t>
      </w:r>
    </w:p>
    <w:p w14:paraId="0000001E" w14:textId="77777777" w:rsidR="00400D4F" w:rsidRDefault="00000000">
      <w:pPr>
        <w:ind w:left="720"/>
        <w:rPr>
          <w:rFonts w:ascii="Arial" w:eastAsia="Arial" w:hAnsi="Arial" w:cs="Arial"/>
          <w:i/>
          <w:iCs/>
          <w:sz w:val="20"/>
          <w:szCs w:val="20"/>
        </w:rPr>
      </w:pPr>
      <w:r>
        <w:rPr>
          <w:rFonts w:ascii="Arial" w:eastAsia="Arial" w:hAnsi="Arial" w:cs="Arial"/>
          <w:i/>
          <w:iCs/>
          <w:sz w:val="20"/>
          <w:szCs w:val="20"/>
        </w:rPr>
        <w:t xml:space="preserve">“AI and automation are essential for filtering noise and detecting patterns at scale; the human analyst must remain the ultimate decision-maker in iGaming risk management. At </w:t>
      </w:r>
      <w:proofErr w:type="spellStart"/>
      <w:r>
        <w:rPr>
          <w:rFonts w:ascii="Arial" w:eastAsia="Arial" w:hAnsi="Arial" w:cs="Arial"/>
          <w:b/>
          <w:bCs/>
          <w:i/>
          <w:iCs/>
          <w:sz w:val="20"/>
          <w:szCs w:val="20"/>
        </w:rPr>
        <w:t>SPiCE</w:t>
      </w:r>
      <w:proofErr w:type="spellEnd"/>
      <w:r>
        <w:rPr>
          <w:rFonts w:ascii="Arial" w:eastAsia="Arial" w:hAnsi="Arial" w:cs="Arial"/>
          <w:b/>
          <w:bCs/>
          <w:i/>
          <w:iCs/>
          <w:sz w:val="20"/>
          <w:szCs w:val="20"/>
        </w:rPr>
        <w:t xml:space="preserve"> Central Asia 2026</w:t>
      </w:r>
      <w:r>
        <w:rPr>
          <w:rFonts w:ascii="Arial" w:eastAsia="Arial" w:hAnsi="Arial" w:cs="Arial"/>
          <w:i/>
          <w:iCs/>
          <w:sz w:val="20"/>
          <w:szCs w:val="20"/>
        </w:rPr>
        <w:t>, I look forward to discussing how we can balance advanced predictive algorithms with human expertise to stay ahead of evolving fraud schemes while protecting genuine players.”</w:t>
      </w:r>
    </w:p>
    <w:p w14:paraId="0000001F" w14:textId="77777777" w:rsidR="00400D4F" w:rsidRDefault="00400D4F">
      <w:pPr>
        <w:ind w:left="720"/>
        <w:rPr>
          <w:rFonts w:ascii="Arial" w:eastAsia="Arial" w:hAnsi="Arial" w:cs="Arial"/>
          <w:i/>
          <w:iCs/>
          <w:sz w:val="20"/>
          <w:szCs w:val="20"/>
        </w:rPr>
      </w:pPr>
    </w:p>
    <w:p w14:paraId="00000020" w14:textId="77777777" w:rsidR="00400D4F" w:rsidRDefault="00000000">
      <w:pPr>
        <w:rPr>
          <w:rFonts w:ascii="Arial" w:eastAsia="Arial" w:hAnsi="Arial" w:cs="Arial"/>
          <w:sz w:val="20"/>
          <w:szCs w:val="20"/>
        </w:rPr>
      </w:pPr>
      <w:r>
        <w:rPr>
          <w:rFonts w:ascii="Arial" w:eastAsia="Arial" w:hAnsi="Arial" w:cs="Arial"/>
          <w:b/>
          <w:bCs/>
          <w:sz w:val="20"/>
          <w:szCs w:val="20"/>
        </w:rPr>
        <w:t xml:space="preserve">Stasya </w:t>
      </w:r>
      <w:proofErr w:type="spellStart"/>
      <w:r>
        <w:rPr>
          <w:rFonts w:ascii="Arial" w:eastAsia="Arial" w:hAnsi="Arial" w:cs="Arial"/>
          <w:b/>
          <w:bCs/>
          <w:sz w:val="20"/>
          <w:szCs w:val="20"/>
        </w:rPr>
        <w:t>Yautodzyeva</w:t>
      </w:r>
      <w:proofErr w:type="spellEnd"/>
      <w:r>
        <w:rPr>
          <w:rFonts w:ascii="Arial" w:eastAsia="Arial" w:hAnsi="Arial" w:cs="Arial"/>
          <w:sz w:val="20"/>
          <w:szCs w:val="20"/>
        </w:rPr>
        <w:t xml:space="preserve">, Head of Analytics at </w:t>
      </w:r>
      <w:r>
        <w:rPr>
          <w:rFonts w:ascii="Arial" w:eastAsia="Arial" w:hAnsi="Arial" w:cs="Arial"/>
          <w:b/>
          <w:bCs/>
          <w:sz w:val="20"/>
          <w:szCs w:val="20"/>
        </w:rPr>
        <w:t>4H Agency</w:t>
      </w:r>
      <w:r>
        <w:rPr>
          <w:rFonts w:ascii="Arial" w:eastAsia="Arial" w:hAnsi="Arial" w:cs="Arial"/>
          <w:sz w:val="20"/>
          <w:szCs w:val="20"/>
        </w:rPr>
        <w:t xml:space="preserve">, will contribute to the discussion on Georgia's emergence as an international iGaming jurisdiction: </w:t>
      </w:r>
    </w:p>
    <w:p w14:paraId="00000021" w14:textId="77777777" w:rsidR="00400D4F" w:rsidRDefault="00000000">
      <w:pPr>
        <w:ind w:left="720"/>
        <w:rPr>
          <w:rFonts w:ascii="Arial" w:eastAsia="Arial" w:hAnsi="Arial" w:cs="Arial"/>
          <w:i/>
          <w:iCs/>
          <w:sz w:val="20"/>
          <w:szCs w:val="20"/>
        </w:rPr>
      </w:pPr>
      <w:r>
        <w:rPr>
          <w:rFonts w:ascii="Arial" w:eastAsia="Arial" w:hAnsi="Arial" w:cs="Arial"/>
          <w:i/>
          <w:iCs/>
          <w:sz w:val="20"/>
          <w:szCs w:val="20"/>
        </w:rPr>
        <w:t>“Georgia's export-only online gaming model represents a unique opportunity for international operators to access a well-regulated and business-friendly jurisdiction. Though the success of such a model will depend on balancing regulatory certainty with commercial competitiveness.”</w:t>
      </w:r>
    </w:p>
    <w:p w14:paraId="00000022" w14:textId="77777777" w:rsidR="00400D4F" w:rsidRDefault="00400D4F">
      <w:pPr>
        <w:rPr>
          <w:rFonts w:ascii="Arial" w:eastAsia="Arial" w:hAnsi="Arial" w:cs="Arial"/>
          <w:sz w:val="20"/>
          <w:szCs w:val="20"/>
        </w:rPr>
      </w:pPr>
    </w:p>
    <w:p w14:paraId="00000023" w14:textId="77777777" w:rsidR="00400D4F" w:rsidRDefault="00000000">
      <w:pPr>
        <w:rPr>
          <w:rFonts w:ascii="Arial" w:eastAsia="Arial" w:hAnsi="Arial" w:cs="Arial"/>
          <w:sz w:val="20"/>
          <w:szCs w:val="20"/>
        </w:rPr>
      </w:pPr>
      <w:r>
        <w:rPr>
          <w:rFonts w:ascii="Arial" w:eastAsia="Arial" w:hAnsi="Arial" w:cs="Arial"/>
          <w:b/>
          <w:bCs/>
          <w:sz w:val="20"/>
          <w:szCs w:val="20"/>
        </w:rPr>
        <w:t>George Mamulaishvili</w:t>
      </w:r>
      <w:r>
        <w:rPr>
          <w:rFonts w:ascii="Arial" w:eastAsia="Arial" w:hAnsi="Arial" w:cs="Arial"/>
          <w:sz w:val="20"/>
          <w:szCs w:val="20"/>
        </w:rPr>
        <w:t xml:space="preserve">, Head of Administration at the </w:t>
      </w:r>
      <w:r>
        <w:rPr>
          <w:rFonts w:ascii="Arial" w:eastAsia="Arial" w:hAnsi="Arial" w:cs="Arial"/>
          <w:b/>
          <w:bCs/>
          <w:sz w:val="20"/>
          <w:szCs w:val="20"/>
        </w:rPr>
        <w:t>Georgian Gambling Association</w:t>
      </w:r>
      <w:r>
        <w:rPr>
          <w:rFonts w:ascii="Arial" w:eastAsia="Arial" w:hAnsi="Arial" w:cs="Arial"/>
          <w:sz w:val="20"/>
          <w:szCs w:val="20"/>
        </w:rPr>
        <w:t xml:space="preserve">, plans to provide an in-depth look at combating illegal gambling through coordinated enforcement: </w:t>
      </w:r>
    </w:p>
    <w:p w14:paraId="00000024" w14:textId="77777777" w:rsidR="00400D4F" w:rsidRDefault="00000000">
      <w:pPr>
        <w:ind w:left="720"/>
        <w:rPr>
          <w:rFonts w:ascii="Arial" w:eastAsia="Arial" w:hAnsi="Arial" w:cs="Arial"/>
          <w:i/>
          <w:iCs/>
          <w:sz w:val="20"/>
          <w:szCs w:val="20"/>
        </w:rPr>
      </w:pPr>
      <w:r>
        <w:rPr>
          <w:rFonts w:ascii="Arial" w:eastAsia="Arial" w:hAnsi="Arial" w:cs="Arial"/>
          <w:i/>
          <w:iCs/>
          <w:sz w:val="20"/>
          <w:szCs w:val="20"/>
        </w:rPr>
        <w:t xml:space="preserve">“I will examine how illegal operators attract and retain players through affiliate networks, social media, search engines, messaging platforms, mirror websites, mobile applications, alternative payment methods and cryptocurrencies. </w:t>
      </w:r>
    </w:p>
    <w:p w14:paraId="00000025" w14:textId="77777777" w:rsidR="00400D4F" w:rsidRDefault="00000000">
      <w:pPr>
        <w:ind w:left="720"/>
        <w:rPr>
          <w:rFonts w:ascii="Arial" w:eastAsia="Arial" w:hAnsi="Arial" w:cs="Arial"/>
          <w:i/>
          <w:iCs/>
          <w:sz w:val="20"/>
          <w:szCs w:val="20"/>
        </w:rPr>
      </w:pPr>
      <w:r>
        <w:rPr>
          <w:rFonts w:ascii="Arial" w:eastAsia="Arial" w:hAnsi="Arial" w:cs="Arial"/>
          <w:i/>
          <w:iCs/>
          <w:sz w:val="20"/>
          <w:szCs w:val="20"/>
        </w:rPr>
        <w:t>I will also discuss why website blocking alone is not sufficient. Effective enforcement requires a coordinated ecosystem combining technology, financial controls, AML and KYC mechanisms, platform accountability, regulatory cooperation and continuous market monitoring.”</w:t>
      </w:r>
    </w:p>
    <w:p w14:paraId="00000026" w14:textId="77777777" w:rsidR="00400D4F" w:rsidRDefault="00400D4F">
      <w:pPr>
        <w:rPr>
          <w:rFonts w:ascii="Arial" w:eastAsia="Arial" w:hAnsi="Arial" w:cs="Arial"/>
          <w:b/>
          <w:bCs/>
          <w:sz w:val="20"/>
          <w:szCs w:val="20"/>
        </w:rPr>
      </w:pPr>
    </w:p>
    <w:p w14:paraId="00000027" w14:textId="77777777" w:rsidR="00400D4F" w:rsidRDefault="00000000">
      <w:pPr>
        <w:rPr>
          <w:rFonts w:ascii="Arial" w:eastAsia="Arial" w:hAnsi="Arial" w:cs="Arial"/>
          <w:b/>
          <w:bCs/>
          <w:sz w:val="20"/>
          <w:szCs w:val="20"/>
        </w:rPr>
      </w:pPr>
      <w:r>
        <w:rPr>
          <w:rFonts w:ascii="Arial" w:eastAsia="Arial" w:hAnsi="Arial" w:cs="Arial"/>
          <w:b/>
          <w:bCs/>
          <w:sz w:val="20"/>
          <w:szCs w:val="20"/>
        </w:rPr>
        <w:t>Attend, Sponsor or Exhibit</w:t>
      </w:r>
    </w:p>
    <w:p w14:paraId="00000028" w14:textId="77777777" w:rsidR="00400D4F" w:rsidRDefault="00000000">
      <w:pPr>
        <w:rPr>
          <w:rFonts w:ascii="Arial" w:eastAsia="Arial" w:hAnsi="Arial" w:cs="Arial"/>
          <w:sz w:val="20"/>
          <w:szCs w:val="20"/>
        </w:rPr>
      </w:pPr>
      <w:r>
        <w:rPr>
          <w:rFonts w:ascii="Arial" w:eastAsia="Arial" w:hAnsi="Arial" w:cs="Arial"/>
          <w:sz w:val="20"/>
          <w:szCs w:val="20"/>
        </w:rPr>
        <w:t>Delegate, sponsorship and exhibition packages are available for organisations looking to put their brand in front of the region’s gaming community, connect with potential partners and build relationships with key industry contacts.</w:t>
      </w:r>
    </w:p>
    <w:p w14:paraId="00000029" w14:textId="77777777" w:rsidR="00400D4F" w:rsidRDefault="00000000">
      <w:pPr>
        <w:rPr>
          <w:rFonts w:ascii="Arial" w:eastAsia="Arial" w:hAnsi="Arial" w:cs="Arial"/>
          <w:sz w:val="20"/>
          <w:szCs w:val="20"/>
        </w:rPr>
      </w:pPr>
      <w:r>
        <w:rPr>
          <w:rFonts w:ascii="Arial" w:eastAsia="Arial" w:hAnsi="Arial" w:cs="Arial"/>
          <w:sz w:val="20"/>
          <w:szCs w:val="20"/>
        </w:rPr>
        <w:t xml:space="preserve">To secure a place, </w:t>
      </w:r>
      <w:r>
        <w:rPr>
          <w:rFonts w:ascii="Arial" w:eastAsia="Arial" w:hAnsi="Arial" w:cs="Arial"/>
          <w:b/>
          <w:bCs/>
          <w:sz w:val="20"/>
          <w:szCs w:val="20"/>
        </w:rPr>
        <w:t>register here</w:t>
      </w:r>
      <w:r>
        <w:rPr>
          <w:rFonts w:ascii="Arial" w:eastAsia="Arial" w:hAnsi="Arial" w:cs="Arial"/>
          <w:sz w:val="20"/>
          <w:szCs w:val="20"/>
        </w:rPr>
        <w:t xml:space="preserve">: </w:t>
      </w:r>
      <w:hyperlink r:id="rId6">
        <w:r>
          <w:rPr>
            <w:rFonts w:ascii="Arial" w:eastAsia="Arial" w:hAnsi="Arial" w:cs="Arial"/>
            <w:color w:val="467886"/>
            <w:sz w:val="20"/>
            <w:szCs w:val="20"/>
            <w:u w:val="single"/>
          </w:rPr>
          <w:t>https://www.spiceseries.com/sca</w:t>
        </w:r>
      </w:hyperlink>
    </w:p>
    <w:p w14:paraId="0000002A" w14:textId="77777777" w:rsidR="00400D4F" w:rsidRDefault="00400D4F">
      <w:pPr>
        <w:rPr>
          <w:rFonts w:ascii="Arial" w:eastAsia="Arial" w:hAnsi="Arial" w:cs="Arial"/>
          <w:sz w:val="20"/>
          <w:szCs w:val="20"/>
        </w:rPr>
      </w:pPr>
    </w:p>
    <w:p w14:paraId="0000002B" w14:textId="77777777" w:rsidR="00400D4F" w:rsidRDefault="00400D4F">
      <w:pPr>
        <w:rPr>
          <w:rFonts w:ascii="Arial" w:eastAsia="Arial" w:hAnsi="Arial" w:cs="Arial"/>
          <w:sz w:val="20"/>
          <w:szCs w:val="20"/>
        </w:rPr>
      </w:pPr>
    </w:p>
    <w:p w14:paraId="0000002C" w14:textId="77777777" w:rsidR="00400D4F" w:rsidRDefault="00000000">
      <w:pPr>
        <w:rPr>
          <w:rFonts w:ascii="Arial" w:eastAsia="Arial" w:hAnsi="Arial" w:cs="Arial"/>
          <w:sz w:val="20"/>
          <w:szCs w:val="20"/>
        </w:rPr>
      </w:pPr>
      <w:r>
        <w:rPr>
          <w:rFonts w:ascii="Arial" w:eastAsia="Arial" w:hAnsi="Arial" w:cs="Arial"/>
          <w:sz w:val="20"/>
          <w:szCs w:val="20"/>
        </w:rPr>
        <w:lastRenderedPageBreak/>
        <w:t>For sponsorship or exhibition enquiries, contact:</w:t>
      </w:r>
    </w:p>
    <w:p w14:paraId="0000002D" w14:textId="77777777" w:rsidR="00400D4F" w:rsidRDefault="00000000">
      <w:pPr>
        <w:spacing w:after="0"/>
        <w:rPr>
          <w:rFonts w:ascii="Arial" w:eastAsia="Arial" w:hAnsi="Arial" w:cs="Arial"/>
          <w:b/>
          <w:bCs/>
          <w:sz w:val="20"/>
          <w:szCs w:val="20"/>
        </w:rPr>
      </w:pPr>
      <w:r>
        <w:rPr>
          <w:rFonts w:ascii="Arial" w:eastAsia="Arial" w:hAnsi="Arial" w:cs="Arial"/>
          <w:b/>
          <w:bCs/>
          <w:sz w:val="20"/>
          <w:szCs w:val="20"/>
        </w:rPr>
        <w:t>Lou-Mari Burnett</w:t>
      </w:r>
      <w:r>
        <w:rPr>
          <w:rFonts w:ascii="Arial" w:eastAsia="Arial" w:hAnsi="Arial" w:cs="Arial"/>
          <w:sz w:val="20"/>
          <w:szCs w:val="20"/>
        </w:rPr>
        <w:t xml:space="preserve">, Chief Operating Officer, </w:t>
      </w:r>
      <w:r>
        <w:rPr>
          <w:rFonts w:ascii="Arial" w:eastAsia="Arial" w:hAnsi="Arial" w:cs="Arial"/>
          <w:b/>
          <w:bCs/>
          <w:sz w:val="20"/>
          <w:szCs w:val="20"/>
        </w:rPr>
        <w:t>Eventus International</w:t>
      </w:r>
    </w:p>
    <w:p w14:paraId="0000002E" w14:textId="77777777" w:rsidR="00400D4F" w:rsidRDefault="00000000">
      <w:pPr>
        <w:spacing w:after="0"/>
        <w:rPr>
          <w:rFonts w:ascii="Arial" w:eastAsia="Arial" w:hAnsi="Arial" w:cs="Arial"/>
          <w:sz w:val="20"/>
          <w:szCs w:val="20"/>
        </w:rPr>
      </w:pPr>
      <w:hyperlink r:id="rId7">
        <w:r>
          <w:rPr>
            <w:rFonts w:ascii="Arial" w:eastAsia="Arial" w:hAnsi="Arial" w:cs="Arial"/>
            <w:color w:val="467886"/>
            <w:sz w:val="20"/>
            <w:szCs w:val="20"/>
            <w:u w:val="single"/>
          </w:rPr>
          <w:t>loumari@eventus-international.com</w:t>
        </w:r>
      </w:hyperlink>
    </w:p>
    <w:p w14:paraId="0000002F" w14:textId="77777777" w:rsidR="00400D4F" w:rsidRDefault="00000000">
      <w:pPr>
        <w:spacing w:after="0"/>
        <w:rPr>
          <w:rFonts w:ascii="Arial" w:eastAsia="Arial" w:hAnsi="Arial" w:cs="Arial"/>
          <w:sz w:val="20"/>
          <w:szCs w:val="20"/>
        </w:rPr>
      </w:pPr>
      <w:r>
        <w:rPr>
          <w:rFonts w:ascii="Arial" w:eastAsia="Arial" w:hAnsi="Arial" w:cs="Arial"/>
          <w:sz w:val="20"/>
          <w:szCs w:val="20"/>
        </w:rPr>
        <w:t>+27 82 907 5850</w:t>
      </w:r>
    </w:p>
    <w:p w14:paraId="00000030" w14:textId="77777777" w:rsidR="00400D4F" w:rsidRDefault="00400D4F">
      <w:pPr>
        <w:rPr>
          <w:rFonts w:ascii="Arial" w:eastAsia="Arial" w:hAnsi="Arial" w:cs="Arial"/>
          <w:sz w:val="20"/>
          <w:szCs w:val="20"/>
        </w:rPr>
      </w:pPr>
    </w:p>
    <w:p w14:paraId="00000031" w14:textId="77777777" w:rsidR="00400D4F" w:rsidRDefault="00400D4F">
      <w:pPr>
        <w:rPr>
          <w:rFonts w:ascii="Arial" w:eastAsia="Arial" w:hAnsi="Arial" w:cs="Arial"/>
          <w:sz w:val="20"/>
          <w:szCs w:val="20"/>
        </w:rPr>
      </w:pPr>
    </w:p>
    <w:p w14:paraId="00000032" w14:textId="77777777" w:rsidR="00400D4F" w:rsidRDefault="00400D4F">
      <w:pPr>
        <w:rPr>
          <w:rFonts w:ascii="Arial" w:eastAsia="Arial" w:hAnsi="Arial" w:cs="Arial"/>
          <w:sz w:val="20"/>
          <w:szCs w:val="20"/>
        </w:rPr>
      </w:pPr>
    </w:p>
    <w:sectPr w:rsidR="00400D4F">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6FE60803-E202-43E1-BAE9-1EC9E2155FA4}"/>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embedRegular r:id="rId2" w:fontKey="{C2395D7F-F6FF-4612-9AB9-79B0DEE8C2F1}"/>
    <w:embedItalic r:id="rId3" w:fontKey="{F1A43188-CD56-4BBE-A4CA-73414DF7A487}"/>
  </w:font>
  <w:font w:name="Play">
    <w:charset w:val="00"/>
    <w:family w:val="auto"/>
    <w:pitch w:val="default"/>
    <w:embedRegular r:id="rId4" w:fontKey="{D91010E0-96E0-49E6-99EC-347841B4208A}"/>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embedRegular r:id="rId5" w:fontKey="{BF778B5A-2AC6-438E-8899-4CCE9FE7A085}"/>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653FEC"/>
    <w:multiLevelType w:val="multilevel"/>
    <w:tmpl w:val="23EA185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78B91EB9"/>
    <w:multiLevelType w:val="multilevel"/>
    <w:tmpl w:val="45BA6C5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2050253634">
    <w:abstractNumId w:val="1"/>
  </w:num>
  <w:num w:numId="2" w16cid:durableId="13630902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0D4F"/>
    <w:rsid w:val="00092CEE"/>
    <w:rsid w:val="00400D4F"/>
    <w:rsid w:val="004A1A8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E902430-659A-44ED-8F88-587400823E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ZA" w:eastAsia="en-ZA"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817C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7C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7C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character" w:customStyle="1" w:styleId="Heading1Char">
    <w:name w:val="Heading 1 Char"/>
    <w:basedOn w:val="DefaultParagraphFont"/>
    <w:link w:val="Heading1"/>
    <w:uiPriority w:val="9"/>
    <w:rsid w:val="00817C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7C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7C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7C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7C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7C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7C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7C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7C6B"/>
    <w:rPr>
      <w:rFonts w:eastAsiaTheme="majorEastAsia" w:cstheme="majorBidi"/>
      <w:color w:val="272727" w:themeColor="text1" w:themeTint="D8"/>
    </w:rPr>
  </w:style>
  <w:style w:type="character" w:customStyle="1" w:styleId="TitleChar">
    <w:name w:val="Title Char"/>
    <w:basedOn w:val="DefaultParagraphFont"/>
    <w:link w:val="Title"/>
    <w:uiPriority w:val="10"/>
    <w:rsid w:val="00817C6B"/>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817C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7C6B"/>
    <w:pPr>
      <w:spacing w:before="160"/>
      <w:jc w:val="center"/>
    </w:pPr>
    <w:rPr>
      <w:i/>
      <w:iCs/>
      <w:color w:val="404040" w:themeColor="text1" w:themeTint="BF"/>
    </w:rPr>
  </w:style>
  <w:style w:type="character" w:customStyle="1" w:styleId="QuoteChar">
    <w:name w:val="Quote Char"/>
    <w:basedOn w:val="DefaultParagraphFont"/>
    <w:link w:val="Quote"/>
    <w:uiPriority w:val="29"/>
    <w:rsid w:val="00817C6B"/>
    <w:rPr>
      <w:i/>
      <w:iCs/>
      <w:color w:val="404040" w:themeColor="text1" w:themeTint="BF"/>
    </w:rPr>
  </w:style>
  <w:style w:type="paragraph" w:styleId="ListParagraph">
    <w:name w:val="List Paragraph"/>
    <w:basedOn w:val="Normal"/>
    <w:uiPriority w:val="34"/>
    <w:qFormat/>
    <w:rsid w:val="00817C6B"/>
    <w:pPr>
      <w:ind w:left="720"/>
      <w:contextualSpacing/>
    </w:pPr>
  </w:style>
  <w:style w:type="character" w:styleId="IntenseEmphasis">
    <w:name w:val="Intense Emphasis"/>
    <w:basedOn w:val="DefaultParagraphFont"/>
    <w:uiPriority w:val="21"/>
    <w:qFormat/>
    <w:rsid w:val="00817C6B"/>
    <w:rPr>
      <w:i/>
      <w:iCs/>
      <w:color w:val="0F4761" w:themeColor="accent1" w:themeShade="BF"/>
    </w:rPr>
  </w:style>
  <w:style w:type="paragraph" w:styleId="IntenseQuote">
    <w:name w:val="Intense Quote"/>
    <w:basedOn w:val="Normal"/>
    <w:next w:val="Normal"/>
    <w:link w:val="IntenseQuoteChar"/>
    <w:uiPriority w:val="30"/>
    <w:qFormat/>
    <w:rsid w:val="00817C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7C6B"/>
    <w:rPr>
      <w:i/>
      <w:iCs/>
      <w:color w:val="0F4761" w:themeColor="accent1" w:themeShade="BF"/>
    </w:rPr>
  </w:style>
  <w:style w:type="character" w:styleId="IntenseReference">
    <w:name w:val="Intense Reference"/>
    <w:basedOn w:val="DefaultParagraphFont"/>
    <w:uiPriority w:val="32"/>
    <w:qFormat/>
    <w:rsid w:val="00817C6B"/>
    <w:rPr>
      <w:b/>
      <w:bCs/>
      <w:smallCaps/>
      <w:color w:val="0F4761" w:themeColor="accent1" w:themeShade="BF"/>
      <w:spacing w:val="5"/>
    </w:rPr>
  </w:style>
  <w:style w:type="character" w:styleId="Hyperlink">
    <w:name w:val="Hyperlink"/>
    <w:basedOn w:val="DefaultParagraphFont"/>
    <w:uiPriority w:val="99"/>
    <w:unhideWhenUsed/>
    <w:rsid w:val="00084AAB"/>
    <w:rPr>
      <w:color w:val="467886" w:themeColor="hyperlink"/>
      <w:u w:val="single"/>
    </w:rPr>
  </w:style>
  <w:style w:type="character" w:styleId="UnresolvedMention">
    <w:name w:val="Unresolved Mention"/>
    <w:basedOn w:val="DefaultParagraphFont"/>
    <w:uiPriority w:val="99"/>
    <w:semiHidden/>
    <w:unhideWhenUsed/>
    <w:rsid w:val="00084AAB"/>
    <w:rPr>
      <w:color w:val="605E5C"/>
      <w:shd w:val="clear" w:color="auto" w:fill="E1DFDD"/>
    </w:rPr>
  </w:style>
  <w:style w:type="paragraph" w:styleId="Subtitle">
    <w:name w:val="Subtitle"/>
    <w:basedOn w:val="Normal"/>
    <w:next w:val="Normal"/>
    <w:link w:val="SubtitleChar"/>
    <w:uiPriority w:val="11"/>
    <w:qFormat/>
    <w:rPr>
      <w:color w:val="595959"/>
      <w:sz w:val="28"/>
      <w:szCs w:val="28"/>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loumari@eventus-internationa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spiceseries.com/sca"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nSPMzdksaQKlagWo6OJwC0N3xw==">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</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799</Words>
  <Characters>4558</Characters>
  <Application>Microsoft Office Word</Application>
  <DocSecurity>0</DocSecurity>
  <Lines>37</Lines>
  <Paragraphs>10</Paragraphs>
  <ScaleCrop>false</ScaleCrop>
  <Company/>
  <LinksUpToDate>false</LinksUpToDate>
  <CharactersWithSpaces>5347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Natalie Ludik</dc:creator>
  <cp:lastModifiedBy>Ashley Strydom</cp:lastModifiedBy>
  <cp:revision>2</cp:revision>
  <dcterms:created xsi:type="dcterms:W3CDTF">2026-08-07T02:14:00Z</dcterms:created>
  <dcterms:modified xsi:type="dcterms:W3CDTF">2026-08-12T12:52:00Z</dcterms:modified>
</cp:coreProperties>
</file>