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F6F3E" w:rsidRDefault="00000000">
      <w:pPr>
        <w:rPr>
          <w:rFonts w:ascii="Arial" w:eastAsia="Arial" w:hAnsi="Arial" w:cs="Arial"/>
          <w:b/>
          <w:bCs/>
          <w:sz w:val="20"/>
          <w:szCs w:val="20"/>
        </w:rPr>
      </w:pPr>
      <w:sdt>
        <w:sdtPr>
          <w:tag w:val="goog_rdk_0"/>
          <w:id w:val="-759890091"/>
        </w:sdtPr>
        <w:sdtContent/>
      </w:sdt>
      <w:sdt>
        <w:sdtPr>
          <w:tag w:val="goog_rdk_1"/>
          <w:id w:val="-585882514"/>
        </w:sdtPr>
        <w:sdtContent/>
      </w:sdt>
      <w:sdt>
        <w:sdtPr>
          <w:tag w:val="goog_rdk_2"/>
          <w:id w:val="-2035040340"/>
        </w:sdtPr>
        <w:sdtContent/>
      </w:sdt>
      <w:r>
        <w:rPr>
          <w:rFonts w:ascii="Arial" w:eastAsia="Arial" w:hAnsi="Arial" w:cs="Arial"/>
          <w:b/>
          <w:bCs/>
          <w:sz w:val="20"/>
          <w:szCs w:val="20"/>
        </w:rPr>
        <w:t>PRESS RELEASE</w:t>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r>
      <w:r>
        <w:rPr>
          <w:rFonts w:ascii="Arial" w:eastAsia="Arial" w:hAnsi="Arial" w:cs="Arial"/>
          <w:b/>
          <w:bCs/>
          <w:sz w:val="20"/>
          <w:szCs w:val="20"/>
        </w:rPr>
        <w:tab/>
        <w:t xml:space="preserve"> 24 August 2026</w:t>
      </w:r>
      <w:r>
        <w:rPr>
          <w:rFonts w:ascii="Arial" w:eastAsia="Arial" w:hAnsi="Arial" w:cs="Arial"/>
          <w:b/>
          <w:bCs/>
          <w:sz w:val="20"/>
          <w:szCs w:val="20"/>
        </w:rPr>
        <w:br/>
      </w:r>
    </w:p>
    <w:p w14:paraId="00000002" w14:textId="77777777" w:rsidR="00CF6F3E" w:rsidRDefault="00000000">
      <w:pPr>
        <w:rPr>
          <w:rFonts w:ascii="Arial" w:eastAsia="Arial" w:hAnsi="Arial" w:cs="Arial"/>
          <w:b/>
          <w:bCs/>
          <w:sz w:val="20"/>
          <w:szCs w:val="20"/>
        </w:rPr>
      </w:pPr>
      <w:r>
        <w:rPr>
          <w:rFonts w:ascii="Arial" w:eastAsia="Arial" w:hAnsi="Arial" w:cs="Arial"/>
          <w:b/>
          <w:bCs/>
          <w:sz w:val="20"/>
          <w:szCs w:val="20"/>
        </w:rPr>
        <w:t>FOR IMMEDIATE RELEASE</w:t>
      </w:r>
    </w:p>
    <w:p w14:paraId="00000003" w14:textId="77777777" w:rsidR="00CF6F3E" w:rsidRDefault="00CF6F3E">
      <w:pPr>
        <w:rPr>
          <w:rFonts w:ascii="Arial" w:eastAsia="Arial" w:hAnsi="Arial" w:cs="Arial"/>
          <w:b/>
          <w:bCs/>
          <w:sz w:val="20"/>
          <w:szCs w:val="20"/>
        </w:rPr>
      </w:pPr>
    </w:p>
    <w:p w14:paraId="00000004" w14:textId="77777777" w:rsidR="00CF6F3E" w:rsidRDefault="00000000">
      <w:pPr>
        <w:jc w:val="center"/>
        <w:rPr>
          <w:rFonts w:ascii="Arial" w:eastAsia="Arial" w:hAnsi="Arial" w:cs="Arial"/>
          <w:b/>
          <w:bCs/>
          <w:sz w:val="20"/>
          <w:szCs w:val="20"/>
          <w:u w:val="single"/>
        </w:rPr>
      </w:pPr>
      <w:bookmarkStart w:id="0" w:name="_heading=h.cfyk2c7xh02u" w:colFirst="0" w:colLast="0"/>
      <w:bookmarkEnd w:id="0"/>
      <w:r>
        <w:rPr>
          <w:rFonts w:ascii="Arial" w:eastAsia="Arial" w:hAnsi="Arial" w:cs="Arial"/>
          <w:b/>
          <w:bCs/>
          <w:sz w:val="20"/>
          <w:szCs w:val="20"/>
          <w:u w:val="single"/>
        </w:rPr>
        <w:t>2 Months Until Nordic Regulators &amp; Operators Meet at the Scandinavian &amp; Nordic Gaming Show 2026</w:t>
      </w:r>
    </w:p>
    <w:p w14:paraId="00000005" w14:textId="77777777" w:rsidR="00CF6F3E" w:rsidRDefault="00CF6F3E">
      <w:pPr>
        <w:rPr>
          <w:rFonts w:ascii="Arial" w:eastAsia="Arial" w:hAnsi="Arial" w:cs="Arial"/>
          <w:sz w:val="20"/>
          <w:szCs w:val="20"/>
        </w:rPr>
      </w:pPr>
    </w:p>
    <w:p w14:paraId="00000006" w14:textId="77777777" w:rsidR="00CF6F3E" w:rsidRDefault="00000000">
      <w:pPr>
        <w:rPr>
          <w:rFonts w:ascii="Arial" w:eastAsia="Arial" w:hAnsi="Arial" w:cs="Arial"/>
          <w:sz w:val="20"/>
          <w:szCs w:val="20"/>
        </w:rPr>
      </w:pPr>
      <w:r>
        <w:rPr>
          <w:rFonts w:ascii="Arial" w:eastAsia="Arial" w:hAnsi="Arial" w:cs="Arial"/>
          <w:sz w:val="20"/>
          <w:szCs w:val="20"/>
        </w:rPr>
        <w:t xml:space="preserve">Across the Nordics and wider European market, gaming regulation is undergoing significant change, with new licensing frameworks, strengthened enforcement and evolving approaches to market oversight reshaping the industry. These developments will be central to the 8th annual </w:t>
      </w:r>
      <w:r>
        <w:rPr>
          <w:rFonts w:ascii="Arial" w:eastAsia="Arial" w:hAnsi="Arial" w:cs="Arial"/>
          <w:b/>
          <w:bCs/>
          <w:sz w:val="20"/>
          <w:szCs w:val="20"/>
        </w:rPr>
        <w:t>Scandinavian &amp; Nordic Gaming Show (SNGS) 2026</w:t>
      </w:r>
      <w:r>
        <w:rPr>
          <w:rFonts w:ascii="Arial" w:eastAsia="Arial" w:hAnsi="Arial" w:cs="Arial"/>
          <w:sz w:val="20"/>
          <w:szCs w:val="20"/>
        </w:rPr>
        <w:t xml:space="preserve">, which will be held on </w:t>
      </w:r>
      <w:r>
        <w:rPr>
          <w:rFonts w:ascii="Arial" w:eastAsia="Arial" w:hAnsi="Arial" w:cs="Arial"/>
          <w:b/>
          <w:bCs/>
          <w:sz w:val="20"/>
          <w:szCs w:val="20"/>
        </w:rPr>
        <w:t>22 – 23 October</w:t>
      </w:r>
      <w:r>
        <w:rPr>
          <w:rFonts w:ascii="Arial" w:eastAsia="Arial" w:hAnsi="Arial" w:cs="Arial"/>
          <w:sz w:val="20"/>
          <w:szCs w:val="20"/>
        </w:rPr>
        <w:t xml:space="preserve"> at the </w:t>
      </w:r>
      <w:r>
        <w:rPr>
          <w:rFonts w:ascii="Arial" w:eastAsia="Arial" w:hAnsi="Arial" w:cs="Arial"/>
          <w:b/>
          <w:bCs/>
          <w:sz w:val="20"/>
          <w:szCs w:val="20"/>
        </w:rPr>
        <w:t>Radisson Blu Scandinavia Hotel</w:t>
      </w:r>
      <w:r>
        <w:rPr>
          <w:rFonts w:ascii="Arial" w:eastAsia="Arial" w:hAnsi="Arial" w:cs="Arial"/>
          <w:sz w:val="20"/>
          <w:szCs w:val="20"/>
        </w:rPr>
        <w:t xml:space="preserve"> in </w:t>
      </w:r>
      <w:r>
        <w:rPr>
          <w:rFonts w:ascii="Arial" w:eastAsia="Arial" w:hAnsi="Arial" w:cs="Arial"/>
          <w:b/>
          <w:bCs/>
          <w:sz w:val="20"/>
          <w:szCs w:val="20"/>
        </w:rPr>
        <w:t>Copenhagen</w:t>
      </w:r>
      <w:r>
        <w:rPr>
          <w:rFonts w:ascii="Arial" w:eastAsia="Arial" w:hAnsi="Arial" w:cs="Arial"/>
          <w:sz w:val="20"/>
          <w:szCs w:val="20"/>
        </w:rPr>
        <w:t xml:space="preserve">, </w:t>
      </w:r>
      <w:r>
        <w:rPr>
          <w:rFonts w:ascii="Arial" w:eastAsia="Arial" w:hAnsi="Arial" w:cs="Arial"/>
          <w:b/>
          <w:bCs/>
          <w:sz w:val="20"/>
          <w:szCs w:val="20"/>
        </w:rPr>
        <w:t>Denmark</w:t>
      </w:r>
      <w:r>
        <w:rPr>
          <w:rFonts w:ascii="Arial" w:eastAsia="Arial" w:hAnsi="Arial" w:cs="Arial"/>
          <w:sz w:val="20"/>
          <w:szCs w:val="20"/>
        </w:rPr>
        <w:t>, where regulators, operators, providers and investors will examine what these changes mean for the market.</w:t>
      </w:r>
    </w:p>
    <w:p w14:paraId="00000007" w14:textId="77777777" w:rsidR="00CF6F3E" w:rsidRDefault="00000000">
      <w:pPr>
        <w:rPr>
          <w:rFonts w:ascii="Arial" w:eastAsia="Arial" w:hAnsi="Arial" w:cs="Arial"/>
          <w:sz w:val="20"/>
          <w:szCs w:val="20"/>
        </w:rPr>
      </w:pPr>
      <w:r>
        <w:rPr>
          <w:rFonts w:ascii="Arial" w:eastAsia="Arial" w:hAnsi="Arial" w:cs="Arial"/>
          <w:sz w:val="20"/>
          <w:szCs w:val="20"/>
        </w:rPr>
        <w:t>Among the major changes taking place across the region are Finland’s preparations to open its market under a new licensing framework, Sweden’s strengthening of its regulatory approach, Denmark’s continued refinement of its oversight, and Norway’s stepped-up enforcement. With reform discussions also progressing in markets including Iceland and Ireland, these developments are creating new considerations around market access, compliance, channelisation and sustainable growth.</w:t>
      </w:r>
    </w:p>
    <w:p w14:paraId="00000008" w14:textId="77777777" w:rsidR="00CF6F3E" w:rsidRDefault="00CF6F3E">
      <w:pPr>
        <w:rPr>
          <w:rFonts w:ascii="Arial" w:eastAsia="Arial" w:hAnsi="Arial" w:cs="Arial"/>
          <w:sz w:val="20"/>
          <w:szCs w:val="20"/>
        </w:rPr>
      </w:pPr>
    </w:p>
    <w:p w14:paraId="00000009" w14:textId="77777777" w:rsidR="00CF6F3E" w:rsidRDefault="00000000">
      <w:pPr>
        <w:rPr>
          <w:rFonts w:ascii="Arial" w:eastAsia="Arial" w:hAnsi="Arial" w:cs="Arial"/>
          <w:b/>
          <w:bCs/>
          <w:sz w:val="20"/>
          <w:szCs w:val="20"/>
        </w:rPr>
      </w:pPr>
      <w:r>
        <w:rPr>
          <w:rFonts w:ascii="Arial" w:eastAsia="Arial" w:hAnsi="Arial" w:cs="Arial"/>
          <w:b/>
          <w:bCs/>
          <w:sz w:val="20"/>
          <w:szCs w:val="20"/>
        </w:rPr>
        <w:t>Highlights on the Agenda</w:t>
      </w:r>
    </w:p>
    <w:p w14:paraId="0000000A" w14:textId="77777777" w:rsidR="00CF6F3E" w:rsidRDefault="00000000">
      <w:pPr>
        <w:rPr>
          <w:rFonts w:ascii="Arial" w:eastAsia="Arial" w:hAnsi="Arial" w:cs="Arial"/>
          <w:b/>
          <w:bCs/>
          <w:sz w:val="20"/>
          <w:szCs w:val="20"/>
        </w:rPr>
      </w:pPr>
      <w:r>
        <w:rPr>
          <w:rFonts w:ascii="Arial" w:eastAsia="Arial" w:hAnsi="Arial" w:cs="Arial"/>
          <w:b/>
          <w:bCs/>
          <w:sz w:val="20"/>
          <w:szCs w:val="20"/>
        </w:rPr>
        <w:t>Day 1 | Thursday, 22 October 2026</w:t>
      </w:r>
    </w:p>
    <w:p w14:paraId="0000000B" w14:textId="77777777" w:rsidR="00CF6F3E" w:rsidRDefault="00000000">
      <w:pPr>
        <w:numPr>
          <w:ilvl w:val="0"/>
          <w:numId w:val="1"/>
        </w:numPr>
        <w:pBdr>
          <w:top w:val="nil"/>
          <w:left w:val="nil"/>
          <w:bottom w:val="nil"/>
          <w:right w:val="nil"/>
          <w:between w:val="nil"/>
        </w:pBdr>
        <w:spacing w:after="0"/>
        <w:rPr>
          <w:i/>
          <w:iCs/>
          <w:color w:val="000000"/>
          <w:sz w:val="20"/>
          <w:szCs w:val="20"/>
        </w:rPr>
      </w:pPr>
      <w:r>
        <w:rPr>
          <w:rFonts w:ascii="Arial" w:eastAsia="Arial" w:hAnsi="Arial" w:cs="Arial"/>
          <w:i/>
          <w:iCs/>
          <w:color w:val="000000"/>
          <w:sz w:val="20"/>
          <w:szCs w:val="20"/>
        </w:rPr>
        <w:t>The Future of iGaming in Europe: Trends, Tensions, and Game-Changing Opportunities</w:t>
      </w:r>
    </w:p>
    <w:p w14:paraId="0000000C" w14:textId="77777777" w:rsidR="00CF6F3E" w:rsidRDefault="00000000">
      <w:pPr>
        <w:numPr>
          <w:ilvl w:val="0"/>
          <w:numId w:val="1"/>
        </w:numPr>
        <w:pBdr>
          <w:top w:val="nil"/>
          <w:left w:val="nil"/>
          <w:bottom w:val="nil"/>
          <w:right w:val="nil"/>
          <w:between w:val="nil"/>
        </w:pBdr>
        <w:spacing w:after="0"/>
        <w:rPr>
          <w:i/>
          <w:iCs/>
          <w:color w:val="000000"/>
          <w:sz w:val="20"/>
          <w:szCs w:val="20"/>
        </w:rPr>
      </w:pPr>
      <w:r>
        <w:rPr>
          <w:rFonts w:ascii="Arial" w:eastAsia="Arial" w:hAnsi="Arial" w:cs="Arial"/>
          <w:i/>
          <w:iCs/>
          <w:color w:val="000000"/>
          <w:sz w:val="20"/>
          <w:szCs w:val="20"/>
        </w:rPr>
        <w:t>Regulation in Motion: UK Fees, Global Tax Shifts, and Platform Controls</w:t>
      </w:r>
    </w:p>
    <w:p w14:paraId="0000000D" w14:textId="77777777" w:rsidR="00CF6F3E" w:rsidRDefault="00000000">
      <w:pPr>
        <w:numPr>
          <w:ilvl w:val="0"/>
          <w:numId w:val="1"/>
        </w:numPr>
        <w:pBdr>
          <w:top w:val="nil"/>
          <w:left w:val="nil"/>
          <w:bottom w:val="nil"/>
          <w:right w:val="nil"/>
          <w:between w:val="nil"/>
        </w:pBdr>
        <w:rPr>
          <w:i/>
          <w:iCs/>
          <w:color w:val="000000"/>
          <w:sz w:val="20"/>
          <w:szCs w:val="20"/>
        </w:rPr>
      </w:pPr>
      <w:r>
        <w:rPr>
          <w:rFonts w:ascii="Arial" w:eastAsia="Arial" w:hAnsi="Arial" w:cs="Arial"/>
          <w:i/>
          <w:iCs/>
          <w:color w:val="000000"/>
          <w:sz w:val="20"/>
          <w:szCs w:val="20"/>
        </w:rPr>
        <w:t>Sweden and Denmark: Two Neighbours, Two Regulatory Paths</w:t>
      </w:r>
    </w:p>
    <w:p w14:paraId="0000000E" w14:textId="77777777" w:rsidR="00CF6F3E" w:rsidRDefault="00000000">
      <w:pPr>
        <w:rPr>
          <w:rFonts w:ascii="Arial" w:eastAsia="Arial" w:hAnsi="Arial" w:cs="Arial"/>
          <w:b/>
          <w:bCs/>
          <w:sz w:val="20"/>
          <w:szCs w:val="20"/>
        </w:rPr>
      </w:pPr>
      <w:r>
        <w:rPr>
          <w:rFonts w:ascii="Arial" w:eastAsia="Arial" w:hAnsi="Arial" w:cs="Arial"/>
          <w:b/>
          <w:bCs/>
          <w:sz w:val="20"/>
          <w:szCs w:val="20"/>
        </w:rPr>
        <w:t>Day 2 | Friday, 23 October 2026</w:t>
      </w:r>
    </w:p>
    <w:p w14:paraId="0000000F" w14:textId="77777777" w:rsidR="00CF6F3E" w:rsidRDefault="00000000">
      <w:pPr>
        <w:numPr>
          <w:ilvl w:val="0"/>
          <w:numId w:val="2"/>
        </w:numPr>
        <w:pBdr>
          <w:top w:val="nil"/>
          <w:left w:val="nil"/>
          <w:bottom w:val="nil"/>
          <w:right w:val="nil"/>
          <w:between w:val="nil"/>
        </w:pBdr>
        <w:spacing w:after="0"/>
        <w:rPr>
          <w:i/>
          <w:iCs/>
          <w:color w:val="000000"/>
          <w:sz w:val="20"/>
          <w:szCs w:val="20"/>
        </w:rPr>
      </w:pPr>
      <w:r>
        <w:rPr>
          <w:rFonts w:ascii="Arial" w:eastAsia="Arial" w:hAnsi="Arial" w:cs="Arial"/>
          <w:i/>
          <w:iCs/>
          <w:color w:val="000000"/>
          <w:sz w:val="20"/>
          <w:szCs w:val="20"/>
        </w:rPr>
        <w:t>From Land-Based to Online: Sweden’s Casino Exit</w:t>
      </w:r>
    </w:p>
    <w:p w14:paraId="00000010" w14:textId="77777777" w:rsidR="00CF6F3E" w:rsidRDefault="00000000">
      <w:pPr>
        <w:numPr>
          <w:ilvl w:val="0"/>
          <w:numId w:val="2"/>
        </w:numPr>
        <w:pBdr>
          <w:top w:val="nil"/>
          <w:left w:val="nil"/>
          <w:bottom w:val="nil"/>
          <w:right w:val="nil"/>
          <w:between w:val="nil"/>
        </w:pBdr>
        <w:spacing w:after="0"/>
        <w:rPr>
          <w:i/>
          <w:iCs/>
          <w:color w:val="000000"/>
          <w:sz w:val="20"/>
          <w:szCs w:val="20"/>
        </w:rPr>
      </w:pPr>
      <w:r>
        <w:rPr>
          <w:rFonts w:ascii="Arial" w:eastAsia="Arial" w:hAnsi="Arial" w:cs="Arial"/>
          <w:i/>
          <w:iCs/>
          <w:color w:val="000000"/>
          <w:sz w:val="20"/>
          <w:szCs w:val="20"/>
        </w:rPr>
        <w:t>Winning Early in Finland’s New Regime</w:t>
      </w:r>
    </w:p>
    <w:p w14:paraId="00000011" w14:textId="77777777" w:rsidR="00CF6F3E" w:rsidRDefault="00000000">
      <w:pPr>
        <w:numPr>
          <w:ilvl w:val="0"/>
          <w:numId w:val="2"/>
        </w:numPr>
        <w:pBdr>
          <w:top w:val="nil"/>
          <w:left w:val="nil"/>
          <w:bottom w:val="nil"/>
          <w:right w:val="nil"/>
          <w:between w:val="nil"/>
        </w:pBdr>
        <w:rPr>
          <w:i/>
          <w:iCs/>
          <w:color w:val="000000"/>
          <w:sz w:val="20"/>
          <w:szCs w:val="20"/>
        </w:rPr>
      </w:pPr>
      <w:r>
        <w:rPr>
          <w:rFonts w:ascii="Arial" w:eastAsia="Arial" w:hAnsi="Arial" w:cs="Arial"/>
          <w:i/>
          <w:iCs/>
          <w:color w:val="000000"/>
          <w:sz w:val="20"/>
          <w:szCs w:val="20"/>
        </w:rPr>
        <w:t>The Nordic Vision: From Channelisation Gaps to Global Leadership</w:t>
      </w:r>
    </w:p>
    <w:p w14:paraId="00000012" w14:textId="77777777" w:rsidR="00CF6F3E" w:rsidRDefault="00CF6F3E">
      <w:pPr>
        <w:rPr>
          <w:rFonts w:ascii="Arial" w:eastAsia="Arial" w:hAnsi="Arial" w:cs="Arial"/>
          <w:sz w:val="20"/>
          <w:szCs w:val="20"/>
        </w:rPr>
      </w:pPr>
    </w:p>
    <w:p w14:paraId="00000013" w14:textId="77777777" w:rsidR="00CF6F3E" w:rsidRDefault="00000000">
      <w:pPr>
        <w:rPr>
          <w:rFonts w:ascii="Arial" w:eastAsia="Arial" w:hAnsi="Arial" w:cs="Arial"/>
          <w:sz w:val="20"/>
          <w:szCs w:val="20"/>
        </w:rPr>
      </w:pPr>
      <w:r>
        <w:rPr>
          <w:rFonts w:ascii="Arial" w:eastAsia="Arial" w:hAnsi="Arial" w:cs="Arial"/>
          <w:b/>
          <w:bCs/>
          <w:sz w:val="20"/>
          <w:szCs w:val="20"/>
        </w:rPr>
        <w:t>What the Region’s Industry Leaders Will Be Covering</w:t>
      </w:r>
    </w:p>
    <w:p w14:paraId="00000014" w14:textId="77777777" w:rsidR="00CF6F3E" w:rsidRDefault="00000000">
      <w:pPr>
        <w:rPr>
          <w:rFonts w:ascii="Arial" w:eastAsia="Arial" w:hAnsi="Arial" w:cs="Arial"/>
          <w:sz w:val="20"/>
          <w:szCs w:val="20"/>
        </w:rPr>
      </w:pPr>
      <w:r>
        <w:rPr>
          <w:rFonts w:ascii="Arial" w:eastAsia="Arial" w:hAnsi="Arial" w:cs="Arial"/>
          <w:sz w:val="20"/>
          <w:szCs w:val="20"/>
        </w:rPr>
        <w:t xml:space="preserve">Representing </w:t>
      </w:r>
      <w:r>
        <w:rPr>
          <w:rFonts w:ascii="Arial" w:eastAsia="Arial" w:hAnsi="Arial" w:cs="Arial"/>
          <w:b/>
          <w:bCs/>
          <w:sz w:val="20"/>
          <w:szCs w:val="20"/>
        </w:rPr>
        <w:t>Hippos ATG</w:t>
      </w:r>
      <w:r>
        <w:rPr>
          <w:rFonts w:ascii="Arial" w:eastAsia="Arial" w:hAnsi="Arial" w:cs="Arial"/>
          <w:sz w:val="20"/>
          <w:szCs w:val="20"/>
        </w:rPr>
        <w:t xml:space="preserve">, </w:t>
      </w:r>
      <w:r>
        <w:rPr>
          <w:rFonts w:ascii="Arial" w:eastAsia="Arial" w:hAnsi="Arial" w:cs="Arial"/>
          <w:b/>
          <w:bCs/>
          <w:sz w:val="20"/>
          <w:szCs w:val="20"/>
        </w:rPr>
        <w:t>Antti Koivula</w:t>
      </w:r>
      <w:r>
        <w:rPr>
          <w:rFonts w:ascii="Arial" w:eastAsia="Arial" w:hAnsi="Arial" w:cs="Arial"/>
          <w:sz w:val="20"/>
          <w:szCs w:val="20"/>
        </w:rPr>
        <w:t xml:space="preserve">, Chief Compliance Officer, will examine the latest developments in Finland’s gambling reform and what the upcoming licensed market means for the industry: </w:t>
      </w:r>
    </w:p>
    <w:p w14:paraId="00000015" w14:textId="77777777" w:rsidR="00CF6F3E" w:rsidRDefault="00000000">
      <w:pPr>
        <w:ind w:left="720"/>
        <w:rPr>
          <w:rFonts w:ascii="Arial" w:eastAsia="Arial" w:hAnsi="Arial" w:cs="Arial"/>
          <w:i/>
          <w:iCs/>
          <w:sz w:val="20"/>
          <w:szCs w:val="20"/>
        </w:rPr>
      </w:pPr>
      <w:r>
        <w:rPr>
          <w:rFonts w:ascii="Arial" w:eastAsia="Arial" w:hAnsi="Arial" w:cs="Arial"/>
          <w:i/>
          <w:iCs/>
          <w:sz w:val="20"/>
          <w:szCs w:val="20"/>
        </w:rPr>
        <w:t>“I can’t wait to join the discussion and analyse the latest developments in Finland’s gambling reform alongside a great group of industry experts. With the opening of the licensed market fast approaching, there will certainly be no shortage of important topics to explore.”</w:t>
      </w:r>
    </w:p>
    <w:p w14:paraId="00000016" w14:textId="77777777" w:rsidR="00CF6F3E" w:rsidRDefault="00CF6F3E">
      <w:pPr>
        <w:rPr>
          <w:rFonts w:ascii="Arial" w:eastAsia="Arial" w:hAnsi="Arial" w:cs="Arial"/>
          <w:sz w:val="20"/>
          <w:szCs w:val="20"/>
        </w:rPr>
      </w:pPr>
    </w:p>
    <w:p w14:paraId="00000017" w14:textId="77777777" w:rsidR="00CF6F3E" w:rsidRDefault="00000000">
      <w:pPr>
        <w:rPr>
          <w:rFonts w:ascii="Arial" w:eastAsia="Arial" w:hAnsi="Arial" w:cs="Arial"/>
          <w:sz w:val="20"/>
          <w:szCs w:val="20"/>
        </w:rPr>
      </w:pPr>
      <w:r>
        <w:rPr>
          <w:rFonts w:ascii="Arial" w:eastAsia="Arial" w:hAnsi="Arial" w:cs="Arial"/>
          <w:b/>
          <w:bCs/>
          <w:sz w:val="20"/>
          <w:szCs w:val="20"/>
        </w:rPr>
        <w:t>Gustaf Hoffstedt</w:t>
      </w:r>
      <w:r>
        <w:rPr>
          <w:rFonts w:ascii="Arial" w:eastAsia="Arial" w:hAnsi="Arial" w:cs="Arial"/>
          <w:sz w:val="20"/>
          <w:szCs w:val="20"/>
        </w:rPr>
        <w:t xml:space="preserve">, Secretary General of </w:t>
      </w:r>
      <w:r>
        <w:rPr>
          <w:rFonts w:ascii="Arial" w:eastAsia="Arial" w:hAnsi="Arial" w:cs="Arial"/>
          <w:b/>
          <w:bCs/>
          <w:sz w:val="20"/>
          <w:szCs w:val="20"/>
        </w:rPr>
        <w:t>BOS – The Swedish Trade Association for Online Gambling</w:t>
      </w:r>
      <w:r>
        <w:rPr>
          <w:rFonts w:ascii="Arial" w:eastAsia="Arial" w:hAnsi="Arial" w:cs="Arial"/>
          <w:sz w:val="20"/>
          <w:szCs w:val="20"/>
        </w:rPr>
        <w:t xml:space="preserve">, will compare the Nordic regulatory model with the UK approach and consider whether the Nordics could emerge as Europe’s next regulatory leaders: </w:t>
      </w:r>
    </w:p>
    <w:p w14:paraId="00000018" w14:textId="77777777" w:rsidR="00CF6F3E" w:rsidRDefault="00000000">
      <w:pPr>
        <w:ind w:left="720"/>
        <w:rPr>
          <w:rFonts w:ascii="Arial" w:eastAsia="Arial" w:hAnsi="Arial" w:cs="Arial"/>
          <w:i/>
          <w:iCs/>
          <w:sz w:val="20"/>
          <w:szCs w:val="20"/>
        </w:rPr>
      </w:pPr>
      <w:r>
        <w:rPr>
          <w:rFonts w:ascii="Arial" w:eastAsia="Arial" w:hAnsi="Arial" w:cs="Arial"/>
          <w:i/>
          <w:iCs/>
          <w:sz w:val="20"/>
          <w:szCs w:val="20"/>
        </w:rPr>
        <w:lastRenderedPageBreak/>
        <w:t>“No jurisdiction has influenced the way Nordic gambling license markets have been regulated and developed like the UK. The UK has been a beacon of light in Europe, thanks to its balanced gambling regulation and high channelisation. Now we are faced with other signals from the UK. Despite these signals, will the UK continue to be Europe's leading gambling market when it comes to well-balanced regulation, or do the Nordics have the opportunity to take over the leadership role? That’s what I want to talk about with my panellists.”</w:t>
      </w:r>
    </w:p>
    <w:p w14:paraId="00000019" w14:textId="77777777" w:rsidR="00CF6F3E" w:rsidRDefault="00CF6F3E">
      <w:pPr>
        <w:rPr>
          <w:rFonts w:ascii="Arial" w:eastAsia="Arial" w:hAnsi="Arial" w:cs="Arial"/>
          <w:sz w:val="20"/>
          <w:szCs w:val="20"/>
        </w:rPr>
      </w:pPr>
    </w:p>
    <w:p w14:paraId="0000001A" w14:textId="77777777" w:rsidR="00CF6F3E" w:rsidRDefault="00000000">
      <w:pPr>
        <w:rPr>
          <w:rFonts w:ascii="Arial" w:eastAsia="Arial" w:hAnsi="Arial" w:cs="Arial"/>
          <w:sz w:val="20"/>
          <w:szCs w:val="20"/>
        </w:rPr>
      </w:pPr>
      <w:r>
        <w:rPr>
          <w:rFonts w:ascii="Arial" w:eastAsia="Arial" w:hAnsi="Arial" w:cs="Arial"/>
          <w:b/>
          <w:bCs/>
          <w:sz w:val="20"/>
          <w:szCs w:val="20"/>
        </w:rPr>
        <w:t>Marko Arpiainen</w:t>
      </w:r>
      <w:r>
        <w:rPr>
          <w:rFonts w:ascii="Arial" w:eastAsia="Arial" w:hAnsi="Arial" w:cs="Arial"/>
          <w:sz w:val="20"/>
          <w:szCs w:val="20"/>
        </w:rPr>
        <w:t xml:space="preserve">, Co-Founder &amp; CEO of </w:t>
      </w:r>
      <w:r>
        <w:rPr>
          <w:rFonts w:ascii="Arial" w:eastAsia="Arial" w:hAnsi="Arial" w:cs="Arial"/>
          <w:b/>
          <w:bCs/>
          <w:sz w:val="20"/>
          <w:szCs w:val="20"/>
        </w:rPr>
        <w:t>LVL UP LABZ</w:t>
      </w:r>
      <w:r>
        <w:rPr>
          <w:rFonts w:ascii="Arial" w:eastAsia="Arial" w:hAnsi="Arial" w:cs="Arial"/>
          <w:sz w:val="20"/>
          <w:szCs w:val="20"/>
        </w:rPr>
        <w:t>, will also focus on how operators can prepare for Finland’s 2027 market opening:</w:t>
      </w:r>
    </w:p>
    <w:p w14:paraId="0000001B" w14:textId="77777777" w:rsidR="00CF6F3E" w:rsidRDefault="00000000">
      <w:pPr>
        <w:ind w:left="720"/>
        <w:rPr>
          <w:rFonts w:ascii="Arial" w:eastAsia="Arial" w:hAnsi="Arial" w:cs="Arial"/>
          <w:i/>
          <w:iCs/>
          <w:sz w:val="20"/>
          <w:szCs w:val="20"/>
        </w:rPr>
      </w:pPr>
      <w:r>
        <w:rPr>
          <w:rFonts w:ascii="Arial" w:eastAsia="Arial" w:hAnsi="Arial" w:cs="Arial"/>
          <w:i/>
          <w:iCs/>
          <w:sz w:val="20"/>
          <w:szCs w:val="20"/>
        </w:rPr>
        <w:t>“I’ll share actionable insights on where to focus at both an operational and marketing level, including a realistic timeline for operators that haven’t yet taken major steps, and how to approach visibility, local partnerships, brand, product and customer experience ahead of the 2027 market opening.”</w:t>
      </w:r>
    </w:p>
    <w:p w14:paraId="0000001C" w14:textId="77777777" w:rsidR="00CF6F3E" w:rsidRDefault="00CF6F3E">
      <w:pPr>
        <w:rPr>
          <w:rFonts w:ascii="Arial" w:eastAsia="Arial" w:hAnsi="Arial" w:cs="Arial"/>
          <w:sz w:val="20"/>
          <w:szCs w:val="20"/>
        </w:rPr>
      </w:pPr>
    </w:p>
    <w:p w14:paraId="0000001D" w14:textId="77777777" w:rsidR="00CF6F3E" w:rsidRDefault="00000000">
      <w:pPr>
        <w:rPr>
          <w:rFonts w:ascii="Arial" w:eastAsia="Arial" w:hAnsi="Arial" w:cs="Arial"/>
          <w:sz w:val="20"/>
          <w:szCs w:val="20"/>
        </w:rPr>
      </w:pPr>
      <w:r>
        <w:rPr>
          <w:rFonts w:ascii="Arial" w:eastAsia="Arial" w:hAnsi="Arial" w:cs="Arial"/>
          <w:sz w:val="20"/>
          <w:szCs w:val="20"/>
        </w:rPr>
        <w:t xml:space="preserve">The role of AI in player support will be explored by </w:t>
      </w:r>
      <w:r>
        <w:rPr>
          <w:rFonts w:ascii="Arial" w:eastAsia="Arial" w:hAnsi="Arial" w:cs="Arial"/>
          <w:b/>
          <w:bCs/>
          <w:sz w:val="20"/>
          <w:szCs w:val="20"/>
        </w:rPr>
        <w:t>Uliana Korobeynikova</w:t>
      </w:r>
      <w:r>
        <w:rPr>
          <w:rFonts w:ascii="Arial" w:eastAsia="Arial" w:hAnsi="Arial" w:cs="Arial"/>
          <w:sz w:val="20"/>
          <w:szCs w:val="20"/>
        </w:rPr>
        <w:t xml:space="preserve">, PR &amp; Communications Executive, who will examine how automation and behavioural monitoring can improve operational efficiency while supporting regulatory compliance: </w:t>
      </w:r>
    </w:p>
    <w:p w14:paraId="0000001E" w14:textId="77777777" w:rsidR="00CF6F3E" w:rsidRDefault="00000000">
      <w:pPr>
        <w:ind w:left="720"/>
        <w:rPr>
          <w:rFonts w:ascii="Arial" w:eastAsia="Arial" w:hAnsi="Arial" w:cs="Arial"/>
          <w:i/>
          <w:iCs/>
          <w:sz w:val="20"/>
          <w:szCs w:val="20"/>
        </w:rPr>
      </w:pPr>
      <w:r>
        <w:rPr>
          <w:rFonts w:ascii="Arial" w:eastAsia="Arial" w:hAnsi="Arial" w:cs="Arial"/>
          <w:i/>
          <w:iCs/>
          <w:sz w:val="20"/>
          <w:szCs w:val="20"/>
        </w:rPr>
        <w:t>“I look forward to discussing how practical AI tools are reshaping player support today. I’ll focus on how automated checks and behavioural monitoring help streamline daily operations without compromising on regulatory standards.”</w:t>
      </w:r>
    </w:p>
    <w:p w14:paraId="0000001F" w14:textId="77777777" w:rsidR="00CF6F3E" w:rsidRDefault="00CF6F3E">
      <w:pPr>
        <w:rPr>
          <w:rFonts w:ascii="Arial" w:eastAsia="Arial" w:hAnsi="Arial" w:cs="Arial"/>
          <w:sz w:val="20"/>
          <w:szCs w:val="20"/>
        </w:rPr>
      </w:pPr>
    </w:p>
    <w:p w14:paraId="00000020" w14:textId="77777777" w:rsidR="00CF6F3E" w:rsidRDefault="00000000">
      <w:pPr>
        <w:rPr>
          <w:rFonts w:ascii="Arial" w:eastAsia="Arial" w:hAnsi="Arial" w:cs="Arial"/>
          <w:sz w:val="20"/>
          <w:szCs w:val="20"/>
        </w:rPr>
      </w:pPr>
      <w:r>
        <w:rPr>
          <w:rFonts w:ascii="Arial" w:eastAsia="Arial" w:hAnsi="Arial" w:cs="Arial"/>
          <w:b/>
          <w:bCs/>
          <w:sz w:val="20"/>
          <w:szCs w:val="20"/>
        </w:rPr>
        <w:t>Mika Kuismanen</w:t>
      </w:r>
      <w:r>
        <w:rPr>
          <w:rFonts w:ascii="Arial" w:eastAsia="Arial" w:hAnsi="Arial" w:cs="Arial"/>
          <w:sz w:val="20"/>
          <w:szCs w:val="20"/>
        </w:rPr>
        <w:t xml:space="preserve">, CEO of </w:t>
      </w:r>
      <w:proofErr w:type="spellStart"/>
      <w:r>
        <w:rPr>
          <w:rFonts w:ascii="Arial" w:eastAsia="Arial" w:hAnsi="Arial" w:cs="Arial"/>
          <w:b/>
          <w:bCs/>
          <w:sz w:val="20"/>
          <w:szCs w:val="20"/>
        </w:rPr>
        <w:t>Rahapeliala</w:t>
      </w:r>
      <w:proofErr w:type="spellEnd"/>
      <w:r>
        <w:rPr>
          <w:rFonts w:ascii="Arial" w:eastAsia="Arial" w:hAnsi="Arial" w:cs="Arial"/>
          <w:b/>
          <w:bCs/>
          <w:sz w:val="20"/>
          <w:szCs w:val="20"/>
        </w:rPr>
        <w:t xml:space="preserve"> Ry</w:t>
      </w:r>
      <w:r>
        <w:rPr>
          <w:rFonts w:ascii="Arial" w:eastAsia="Arial" w:hAnsi="Arial" w:cs="Arial"/>
          <w:sz w:val="20"/>
          <w:szCs w:val="20"/>
        </w:rPr>
        <w:t xml:space="preserve"> and another Finnish expert taking the stage at </w:t>
      </w:r>
      <w:r>
        <w:rPr>
          <w:rFonts w:ascii="Arial" w:eastAsia="Arial" w:hAnsi="Arial" w:cs="Arial"/>
          <w:b/>
          <w:bCs/>
          <w:sz w:val="20"/>
          <w:szCs w:val="20"/>
        </w:rPr>
        <w:t>SNGS 2026</w:t>
      </w:r>
      <w:r>
        <w:rPr>
          <w:rFonts w:ascii="Arial" w:eastAsia="Arial" w:hAnsi="Arial" w:cs="Arial"/>
          <w:sz w:val="20"/>
          <w:szCs w:val="20"/>
        </w:rPr>
        <w:t xml:space="preserve">, will offer further insight into the practical considerations surrounding the country’s upcoming market opening: </w:t>
      </w:r>
    </w:p>
    <w:p w14:paraId="00000021" w14:textId="77777777" w:rsidR="00CF6F3E" w:rsidRDefault="00000000">
      <w:pPr>
        <w:ind w:left="720"/>
        <w:rPr>
          <w:rFonts w:ascii="Arial" w:eastAsia="Arial" w:hAnsi="Arial" w:cs="Arial"/>
          <w:i/>
          <w:iCs/>
          <w:sz w:val="20"/>
          <w:szCs w:val="20"/>
        </w:rPr>
      </w:pPr>
      <w:r>
        <w:rPr>
          <w:rFonts w:ascii="Arial" w:eastAsia="Arial" w:hAnsi="Arial" w:cs="Arial"/>
          <w:i/>
          <w:iCs/>
          <w:sz w:val="20"/>
          <w:szCs w:val="20"/>
        </w:rPr>
        <w:t>“The Finnish licence market will open in July 2027. In my presentation, I will go through essential practical issues, such as the regulations and guidelines of the National Police Board.”</w:t>
      </w:r>
    </w:p>
    <w:p w14:paraId="00000022" w14:textId="77777777" w:rsidR="00CF6F3E" w:rsidRDefault="00CF6F3E">
      <w:pPr>
        <w:rPr>
          <w:rFonts w:ascii="Arial" w:eastAsia="Arial" w:hAnsi="Arial" w:cs="Arial"/>
          <w:sz w:val="20"/>
          <w:szCs w:val="20"/>
        </w:rPr>
      </w:pPr>
    </w:p>
    <w:p w14:paraId="00000023" w14:textId="77777777" w:rsidR="00CF6F3E" w:rsidRDefault="00000000">
      <w:pPr>
        <w:rPr>
          <w:rFonts w:ascii="Arial" w:eastAsia="Arial" w:hAnsi="Arial" w:cs="Arial"/>
          <w:sz w:val="20"/>
          <w:szCs w:val="20"/>
        </w:rPr>
      </w:pPr>
      <w:r>
        <w:rPr>
          <w:rFonts w:ascii="Arial" w:eastAsia="Arial" w:hAnsi="Arial" w:cs="Arial"/>
          <w:b/>
          <w:bCs/>
          <w:sz w:val="20"/>
          <w:szCs w:val="20"/>
        </w:rPr>
        <w:t>Attend, Sponsor or Exhibit</w:t>
      </w:r>
    </w:p>
    <w:p w14:paraId="00000024" w14:textId="77777777" w:rsidR="00CF6F3E" w:rsidRDefault="00000000">
      <w:pPr>
        <w:rPr>
          <w:rFonts w:ascii="Arial" w:eastAsia="Arial" w:hAnsi="Arial" w:cs="Arial"/>
          <w:sz w:val="20"/>
          <w:szCs w:val="20"/>
        </w:rPr>
      </w:pPr>
      <w:r>
        <w:rPr>
          <w:rFonts w:ascii="Arial" w:eastAsia="Arial" w:hAnsi="Arial" w:cs="Arial"/>
          <w:sz w:val="20"/>
          <w:szCs w:val="20"/>
        </w:rPr>
        <w:t xml:space="preserve">Delegate, sponsorship and exhibition opportunities are available for the 8th annual </w:t>
      </w:r>
      <w:r>
        <w:rPr>
          <w:rFonts w:ascii="Arial" w:eastAsia="Arial" w:hAnsi="Arial" w:cs="Arial"/>
          <w:b/>
          <w:bCs/>
          <w:sz w:val="20"/>
          <w:szCs w:val="20"/>
        </w:rPr>
        <w:t>SNGS 2026</w:t>
      </w:r>
      <w:r>
        <w:rPr>
          <w:rFonts w:ascii="Arial" w:eastAsia="Arial" w:hAnsi="Arial" w:cs="Arial"/>
          <w:sz w:val="20"/>
          <w:szCs w:val="20"/>
        </w:rPr>
        <w:t>, offering organisations the opportunity to raise their profile, connect with the region’s gaming community and build relationships with key industry stakeholders.</w:t>
      </w:r>
    </w:p>
    <w:p w14:paraId="00000025" w14:textId="77777777" w:rsidR="00CF6F3E" w:rsidRDefault="00000000">
      <w:pPr>
        <w:rPr>
          <w:rFonts w:ascii="Arial" w:eastAsia="Arial" w:hAnsi="Arial" w:cs="Arial"/>
          <w:sz w:val="20"/>
          <w:szCs w:val="20"/>
        </w:rPr>
      </w:pPr>
      <w:r>
        <w:rPr>
          <w:rFonts w:ascii="Arial" w:eastAsia="Arial" w:hAnsi="Arial" w:cs="Arial"/>
          <w:sz w:val="20"/>
          <w:szCs w:val="20"/>
        </w:rPr>
        <w:t xml:space="preserve">To secure a place, </w:t>
      </w:r>
      <w:r>
        <w:rPr>
          <w:rFonts w:ascii="Arial" w:eastAsia="Arial" w:hAnsi="Arial" w:cs="Arial"/>
          <w:b/>
          <w:bCs/>
          <w:sz w:val="20"/>
          <w:szCs w:val="20"/>
        </w:rPr>
        <w:t>register here</w:t>
      </w:r>
      <w:r>
        <w:rPr>
          <w:rFonts w:ascii="Arial" w:eastAsia="Arial" w:hAnsi="Arial" w:cs="Arial"/>
          <w:sz w:val="20"/>
          <w:szCs w:val="20"/>
        </w:rPr>
        <w:t xml:space="preserve">: </w:t>
      </w:r>
      <w:hyperlink r:id="rId6">
        <w:r>
          <w:rPr>
            <w:rFonts w:ascii="Arial" w:eastAsia="Arial" w:hAnsi="Arial" w:cs="Arial"/>
            <w:color w:val="467886"/>
            <w:sz w:val="20"/>
            <w:szCs w:val="20"/>
            <w:u w:val="single"/>
          </w:rPr>
          <w:t>https://www.eventus-international.com/sngs</w:t>
        </w:r>
      </w:hyperlink>
      <w:r>
        <w:rPr>
          <w:rFonts w:ascii="Arial" w:eastAsia="Arial" w:hAnsi="Arial" w:cs="Arial"/>
          <w:sz w:val="20"/>
          <w:szCs w:val="20"/>
        </w:rPr>
        <w:t xml:space="preserve"> </w:t>
      </w:r>
    </w:p>
    <w:p w14:paraId="00000026" w14:textId="77777777" w:rsidR="00CF6F3E" w:rsidRDefault="00CF6F3E">
      <w:pPr>
        <w:rPr>
          <w:rFonts w:ascii="Arial" w:eastAsia="Arial" w:hAnsi="Arial" w:cs="Arial"/>
          <w:sz w:val="20"/>
          <w:szCs w:val="20"/>
        </w:rPr>
      </w:pPr>
    </w:p>
    <w:p w14:paraId="00000027" w14:textId="77777777" w:rsidR="00CF6F3E" w:rsidRDefault="00000000">
      <w:pPr>
        <w:rPr>
          <w:rFonts w:ascii="Arial" w:eastAsia="Arial" w:hAnsi="Arial" w:cs="Arial"/>
          <w:sz w:val="20"/>
          <w:szCs w:val="20"/>
        </w:rPr>
      </w:pPr>
      <w:r>
        <w:rPr>
          <w:rFonts w:ascii="Arial" w:eastAsia="Arial" w:hAnsi="Arial" w:cs="Arial"/>
          <w:sz w:val="20"/>
          <w:szCs w:val="20"/>
        </w:rPr>
        <w:t>For sponsorship or exhibition enquiries, contact:</w:t>
      </w:r>
    </w:p>
    <w:p w14:paraId="00000028" w14:textId="77777777" w:rsidR="00CF6F3E" w:rsidRDefault="00000000">
      <w:pPr>
        <w:rPr>
          <w:rFonts w:ascii="Arial" w:eastAsia="Arial" w:hAnsi="Arial" w:cs="Arial"/>
          <w:sz w:val="20"/>
          <w:szCs w:val="20"/>
        </w:rPr>
      </w:pPr>
      <w:r>
        <w:rPr>
          <w:rFonts w:ascii="Arial" w:eastAsia="Arial" w:hAnsi="Arial" w:cs="Arial"/>
          <w:b/>
          <w:bCs/>
          <w:sz w:val="20"/>
          <w:szCs w:val="20"/>
        </w:rPr>
        <w:t>Lou-Mari Burnett</w:t>
      </w:r>
      <w:r>
        <w:rPr>
          <w:rFonts w:ascii="Arial" w:eastAsia="Arial" w:hAnsi="Arial" w:cs="Arial"/>
          <w:sz w:val="20"/>
          <w:szCs w:val="20"/>
        </w:rPr>
        <w:t xml:space="preserve">, Chief Operating Officer, </w:t>
      </w:r>
      <w:r>
        <w:rPr>
          <w:rFonts w:ascii="Arial" w:eastAsia="Arial" w:hAnsi="Arial" w:cs="Arial"/>
          <w:b/>
          <w:bCs/>
          <w:sz w:val="20"/>
          <w:szCs w:val="20"/>
        </w:rPr>
        <w:t>Eventus International</w:t>
      </w:r>
    </w:p>
    <w:p w14:paraId="00000029" w14:textId="77777777" w:rsidR="00CF6F3E" w:rsidRDefault="00000000">
      <w:pPr>
        <w:rPr>
          <w:rFonts w:ascii="Arial" w:eastAsia="Arial" w:hAnsi="Arial" w:cs="Arial"/>
          <w:sz w:val="20"/>
          <w:szCs w:val="20"/>
        </w:rPr>
      </w:pPr>
      <w:hyperlink r:id="rId7">
        <w:r>
          <w:rPr>
            <w:rFonts w:ascii="Arial" w:eastAsia="Arial" w:hAnsi="Arial" w:cs="Arial"/>
            <w:color w:val="467886"/>
            <w:sz w:val="20"/>
            <w:szCs w:val="20"/>
            <w:u w:val="single"/>
          </w:rPr>
          <w:t>loumari@eventus-international.com</w:t>
        </w:r>
      </w:hyperlink>
    </w:p>
    <w:p w14:paraId="0000002A" w14:textId="77777777" w:rsidR="00CF6F3E" w:rsidRDefault="00000000">
      <w:pPr>
        <w:rPr>
          <w:rFonts w:ascii="Arial" w:eastAsia="Arial" w:hAnsi="Arial" w:cs="Arial"/>
          <w:sz w:val="20"/>
          <w:szCs w:val="20"/>
        </w:rPr>
      </w:pPr>
      <w:r>
        <w:rPr>
          <w:rFonts w:ascii="Arial" w:eastAsia="Arial" w:hAnsi="Arial" w:cs="Arial"/>
          <w:sz w:val="20"/>
          <w:szCs w:val="20"/>
        </w:rPr>
        <w:t>+27 82 907 5850</w:t>
      </w:r>
    </w:p>
    <w:p w14:paraId="0000002B" w14:textId="77777777" w:rsidR="00CF6F3E" w:rsidRDefault="00CF6F3E">
      <w:pPr>
        <w:rPr>
          <w:rFonts w:ascii="Arial" w:eastAsia="Arial" w:hAnsi="Arial" w:cs="Arial"/>
          <w:sz w:val="20"/>
          <w:szCs w:val="20"/>
        </w:rPr>
      </w:pPr>
    </w:p>
    <w:p w14:paraId="0000002C" w14:textId="77777777" w:rsidR="00CF6F3E" w:rsidRDefault="00CF6F3E">
      <w:pPr>
        <w:rPr>
          <w:rFonts w:ascii="Arial" w:eastAsia="Arial" w:hAnsi="Arial" w:cs="Arial"/>
          <w:sz w:val="20"/>
          <w:szCs w:val="20"/>
        </w:rPr>
      </w:pPr>
    </w:p>
    <w:sectPr w:rsidR="00CF6F3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DB3458E-6019-4544-9E19-03104E1B5ADB}"/>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E88119F7-D984-4553-89AB-0CE411C89FFA}"/>
    <w:embedItalic r:id="rId3" w:fontKey="{F22BBF2B-4203-4016-9AC3-EE9144943008}"/>
  </w:font>
  <w:font w:name="Play">
    <w:charset w:val="00"/>
    <w:family w:val="auto"/>
    <w:pitch w:val="default"/>
    <w:embedRegular r:id="rId4" w:fontKey="{68C0C80E-FD25-4CED-947B-6A28D917C418}"/>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A833C315-EECC-4C02-AD01-3EE366482A8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611AD"/>
    <w:multiLevelType w:val="multilevel"/>
    <w:tmpl w:val="A61067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499058D"/>
    <w:multiLevelType w:val="multilevel"/>
    <w:tmpl w:val="39721C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60045010">
    <w:abstractNumId w:val="1"/>
  </w:num>
  <w:num w:numId="2" w16cid:durableId="16142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F3E"/>
    <w:rsid w:val="008058BA"/>
    <w:rsid w:val="00B00918"/>
    <w:rsid w:val="00CF6F3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B15E94-F3C3-47A8-B6BE-721CA4AB4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ZA" w:eastAsia="en-Z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793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793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D92"/>
    <w:rPr>
      <w:rFonts w:eastAsiaTheme="majorEastAsia" w:cstheme="majorBidi"/>
      <w:color w:val="272727" w:themeColor="text1" w:themeTint="D8"/>
    </w:rPr>
  </w:style>
  <w:style w:type="character" w:customStyle="1" w:styleId="TitleChar">
    <w:name w:val="Title Char"/>
    <w:basedOn w:val="DefaultParagraphFont"/>
    <w:link w:val="Title"/>
    <w:uiPriority w:val="10"/>
    <w:rsid w:val="00793D9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93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D92"/>
    <w:pPr>
      <w:spacing w:before="160"/>
      <w:jc w:val="center"/>
    </w:pPr>
    <w:rPr>
      <w:i/>
      <w:iCs/>
      <w:color w:val="404040" w:themeColor="text1" w:themeTint="BF"/>
    </w:rPr>
  </w:style>
  <w:style w:type="character" w:customStyle="1" w:styleId="QuoteChar">
    <w:name w:val="Quote Char"/>
    <w:basedOn w:val="DefaultParagraphFont"/>
    <w:link w:val="Quote"/>
    <w:uiPriority w:val="29"/>
    <w:rsid w:val="00793D92"/>
    <w:rPr>
      <w:i/>
      <w:iCs/>
      <w:color w:val="404040" w:themeColor="text1" w:themeTint="BF"/>
    </w:rPr>
  </w:style>
  <w:style w:type="paragraph" w:styleId="ListParagraph">
    <w:name w:val="List Paragraph"/>
    <w:basedOn w:val="Normal"/>
    <w:uiPriority w:val="34"/>
    <w:qFormat/>
    <w:rsid w:val="00793D92"/>
    <w:pPr>
      <w:ind w:left="720"/>
      <w:contextualSpacing/>
    </w:pPr>
  </w:style>
  <w:style w:type="character" w:styleId="IntenseEmphasis">
    <w:name w:val="Intense Emphasis"/>
    <w:basedOn w:val="DefaultParagraphFont"/>
    <w:uiPriority w:val="21"/>
    <w:qFormat/>
    <w:rsid w:val="00793D92"/>
    <w:rPr>
      <w:i/>
      <w:iCs/>
      <w:color w:val="0F4761" w:themeColor="accent1" w:themeShade="BF"/>
    </w:rPr>
  </w:style>
  <w:style w:type="paragraph" w:styleId="IntenseQuote">
    <w:name w:val="Intense Quote"/>
    <w:basedOn w:val="Normal"/>
    <w:next w:val="Normal"/>
    <w:link w:val="IntenseQuoteChar"/>
    <w:uiPriority w:val="30"/>
    <w:qFormat/>
    <w:rsid w:val="00793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D92"/>
    <w:rPr>
      <w:i/>
      <w:iCs/>
      <w:color w:val="0F4761" w:themeColor="accent1" w:themeShade="BF"/>
    </w:rPr>
  </w:style>
  <w:style w:type="character" w:styleId="IntenseReference">
    <w:name w:val="Intense Reference"/>
    <w:basedOn w:val="DefaultParagraphFont"/>
    <w:uiPriority w:val="32"/>
    <w:qFormat/>
    <w:rsid w:val="00793D92"/>
    <w:rPr>
      <w:b/>
      <w:bCs/>
      <w:smallCaps/>
      <w:color w:val="0F4761" w:themeColor="accent1" w:themeShade="BF"/>
      <w:spacing w:val="5"/>
    </w:rPr>
  </w:style>
  <w:style w:type="character" w:styleId="Hyperlink">
    <w:name w:val="Hyperlink"/>
    <w:basedOn w:val="DefaultParagraphFont"/>
    <w:uiPriority w:val="99"/>
    <w:unhideWhenUsed/>
    <w:rsid w:val="00904AA4"/>
    <w:rPr>
      <w:color w:val="467886" w:themeColor="hyperlink"/>
      <w:u w:val="single"/>
    </w:rPr>
  </w:style>
  <w:style w:type="character" w:styleId="UnresolvedMention">
    <w:name w:val="Unresolved Mention"/>
    <w:basedOn w:val="DefaultParagraphFont"/>
    <w:uiPriority w:val="99"/>
    <w:semiHidden/>
    <w:unhideWhenUsed/>
    <w:rsid w:val="00904AA4"/>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loumari@eventus-internationa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ventus-international.com/sng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JHI55t8rqZKNuujli+S2j8pjNQ==">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727</Words>
  <Characters>4150</Characters>
  <Application>Microsoft Office Word</Application>
  <DocSecurity>0</DocSecurity>
  <Lines>34</Lines>
  <Paragraphs>9</Paragraphs>
  <ScaleCrop>false</ScaleCrop>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 Ludik</dc:creator>
  <cp:lastModifiedBy>Ashley Strydom</cp:lastModifiedBy>
  <cp:revision>2</cp:revision>
  <dcterms:created xsi:type="dcterms:W3CDTF">2026-08-21T09:05:00Z</dcterms:created>
  <dcterms:modified xsi:type="dcterms:W3CDTF">2026-08-24T11:12:00Z</dcterms:modified>
</cp:coreProperties>
</file>