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414C8" w:rsidRDefault="00000000">
      <w:pPr>
        <w:rPr>
          <w:b/>
          <w:bCs/>
          <w:sz w:val="20"/>
          <w:szCs w:val="20"/>
        </w:rPr>
      </w:pPr>
      <w:r>
        <w:rPr>
          <w:b/>
          <w:bCs/>
          <w:sz w:val="20"/>
          <w:szCs w:val="20"/>
        </w:rPr>
        <w:t xml:space="preserve">Press Release </w:t>
      </w:r>
    </w:p>
    <w:p w14:paraId="00000002" w14:textId="77777777" w:rsidR="00E414C8" w:rsidRDefault="00E414C8">
      <w:pPr>
        <w:rPr>
          <w:b/>
          <w:bCs/>
          <w:sz w:val="20"/>
          <w:szCs w:val="20"/>
        </w:rPr>
      </w:pPr>
    </w:p>
    <w:p w14:paraId="00000003" w14:textId="77777777" w:rsidR="00E414C8" w:rsidRDefault="00000000">
      <w:pPr>
        <w:rPr>
          <w:b/>
          <w:bCs/>
          <w:sz w:val="20"/>
          <w:szCs w:val="20"/>
        </w:rPr>
      </w:pPr>
      <w:r>
        <w:rPr>
          <w:b/>
          <w:bCs/>
          <w:sz w:val="20"/>
          <w:szCs w:val="20"/>
        </w:rPr>
        <w:t xml:space="preserve">FOR IMMEDIATE RELEASE </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sdt>
        <w:sdtPr>
          <w:tag w:val="goog_rdk_0"/>
          <w:id w:val="1761077156"/>
        </w:sdtPr>
        <w:sdtContent/>
      </w:sdt>
      <w:sdt>
        <w:sdtPr>
          <w:tag w:val="goog_rdk_1"/>
          <w:id w:val="-213206024"/>
        </w:sdtPr>
        <w:sdtContent/>
      </w:sdt>
      <w:sdt>
        <w:sdtPr>
          <w:tag w:val="goog_rdk_2"/>
          <w:id w:val="1891593268"/>
        </w:sdtPr>
        <w:sdtContent/>
      </w:sdt>
      <w:sdt>
        <w:sdtPr>
          <w:tag w:val="goog_rdk_3"/>
          <w:id w:val="1403530000"/>
        </w:sdtPr>
        <w:sdtContent/>
      </w:sdt>
      <w:sdt>
        <w:sdtPr>
          <w:tag w:val="goog_rdk_4"/>
          <w:id w:val="856133060"/>
        </w:sdtPr>
        <w:sdtContent/>
      </w:sdt>
      <w:r>
        <w:rPr>
          <w:b/>
          <w:bCs/>
          <w:sz w:val="20"/>
          <w:szCs w:val="20"/>
        </w:rPr>
        <w:t>24 August 2026</w:t>
      </w:r>
    </w:p>
    <w:p w14:paraId="00000004" w14:textId="77777777" w:rsidR="00E414C8" w:rsidRDefault="00E414C8">
      <w:pPr>
        <w:rPr>
          <w:b/>
          <w:bCs/>
          <w:sz w:val="20"/>
          <w:szCs w:val="20"/>
        </w:rPr>
      </w:pPr>
    </w:p>
    <w:p w14:paraId="00000005" w14:textId="77777777" w:rsidR="00E414C8" w:rsidRDefault="00000000">
      <w:pPr>
        <w:jc w:val="center"/>
        <w:rPr>
          <w:b/>
          <w:bCs/>
          <w:sz w:val="20"/>
          <w:szCs w:val="20"/>
          <w:u w:val="single"/>
        </w:rPr>
      </w:pPr>
      <w:r>
        <w:rPr>
          <w:b/>
          <w:bCs/>
          <w:sz w:val="20"/>
          <w:szCs w:val="20"/>
          <w:u w:val="single"/>
        </w:rPr>
        <w:t xml:space="preserve">1 Month Until </w:t>
      </w:r>
      <w:proofErr w:type="spellStart"/>
      <w:r>
        <w:rPr>
          <w:b/>
          <w:bCs/>
          <w:sz w:val="20"/>
          <w:szCs w:val="20"/>
          <w:u w:val="single"/>
        </w:rPr>
        <w:t>SPiCE</w:t>
      </w:r>
      <w:proofErr w:type="spellEnd"/>
      <w:r>
        <w:rPr>
          <w:b/>
          <w:bCs/>
          <w:sz w:val="20"/>
          <w:szCs w:val="20"/>
          <w:u w:val="single"/>
        </w:rPr>
        <w:t xml:space="preserve"> Central Asia 2026: Georgia’s iGaming Export Model, Localisation &amp; Market Sustainability</w:t>
      </w:r>
    </w:p>
    <w:p w14:paraId="00000006" w14:textId="77777777" w:rsidR="00E414C8" w:rsidRDefault="00000000">
      <w:pPr>
        <w:rPr>
          <w:sz w:val="20"/>
          <w:szCs w:val="20"/>
        </w:rPr>
      </w:pPr>
      <w:r>
        <w:rPr>
          <w:sz w:val="20"/>
          <w:szCs w:val="20"/>
        </w:rPr>
        <w:t xml:space="preserve">Across Central Asia and the Caucasus, gaming markets continue to evolve alongside regulatory developments, investment activity and technological innovation, creating new opportunities for operators, suppliers and other industry stakeholders. In one month, the 3rd annual </w:t>
      </w:r>
      <w:proofErr w:type="spellStart"/>
      <w:r>
        <w:rPr>
          <w:b/>
          <w:bCs/>
          <w:sz w:val="20"/>
          <w:szCs w:val="20"/>
        </w:rPr>
        <w:t>SPiCE</w:t>
      </w:r>
      <w:proofErr w:type="spellEnd"/>
      <w:r>
        <w:rPr>
          <w:b/>
          <w:bCs/>
          <w:sz w:val="20"/>
          <w:szCs w:val="20"/>
        </w:rPr>
        <w:t xml:space="preserve"> Central Asia 2026</w:t>
      </w:r>
      <w:r>
        <w:rPr>
          <w:sz w:val="20"/>
          <w:szCs w:val="20"/>
        </w:rPr>
        <w:t xml:space="preserve"> will bring the region's gaming community together at </w:t>
      </w:r>
      <w:r>
        <w:rPr>
          <w:b/>
          <w:bCs/>
          <w:sz w:val="20"/>
          <w:szCs w:val="20"/>
        </w:rPr>
        <w:t>The Biltmore Hotel Tbilisi</w:t>
      </w:r>
      <w:r>
        <w:rPr>
          <w:sz w:val="20"/>
          <w:szCs w:val="20"/>
        </w:rPr>
        <w:t xml:space="preserve">, in </w:t>
      </w:r>
      <w:r>
        <w:rPr>
          <w:b/>
          <w:bCs/>
          <w:sz w:val="20"/>
          <w:szCs w:val="20"/>
        </w:rPr>
        <w:t>Tbilisi</w:t>
      </w:r>
      <w:r>
        <w:rPr>
          <w:sz w:val="20"/>
          <w:szCs w:val="20"/>
        </w:rPr>
        <w:t>,</w:t>
      </w:r>
      <w:r>
        <w:rPr>
          <w:b/>
          <w:bCs/>
          <w:sz w:val="20"/>
          <w:szCs w:val="20"/>
        </w:rPr>
        <w:t xml:space="preserve"> Georgia</w:t>
      </w:r>
      <w:r>
        <w:rPr>
          <w:sz w:val="20"/>
          <w:szCs w:val="20"/>
        </w:rPr>
        <w:t>, on</w:t>
      </w:r>
      <w:r>
        <w:rPr>
          <w:b/>
          <w:bCs/>
          <w:sz w:val="20"/>
          <w:szCs w:val="20"/>
        </w:rPr>
        <w:t xml:space="preserve"> 24 </w:t>
      </w:r>
      <w:r>
        <w:rPr>
          <w:sz w:val="20"/>
          <w:szCs w:val="20"/>
        </w:rPr>
        <w:t>–</w:t>
      </w:r>
      <w:r>
        <w:rPr>
          <w:b/>
          <w:bCs/>
          <w:sz w:val="20"/>
          <w:szCs w:val="20"/>
        </w:rPr>
        <w:t xml:space="preserve"> 25 September 2026</w:t>
      </w:r>
      <w:r>
        <w:rPr>
          <w:sz w:val="20"/>
          <w:szCs w:val="20"/>
        </w:rPr>
        <w:t xml:space="preserve">. </w:t>
      </w:r>
    </w:p>
    <w:p w14:paraId="00000007" w14:textId="77777777" w:rsidR="00E414C8" w:rsidRDefault="00000000">
      <w:pPr>
        <w:rPr>
          <w:sz w:val="20"/>
          <w:szCs w:val="20"/>
        </w:rPr>
      </w:pPr>
      <w:r>
        <w:rPr>
          <w:sz w:val="20"/>
          <w:szCs w:val="20"/>
        </w:rPr>
        <w:t xml:space="preserve">Attendees can look forward to two days of industry discussion, knowledge exchange and networking, with policymakers, regulators, operators, affiliates, investors and technology providers set to attend. The event will examine the changing regulatory and commercial landscape, alongside developments in technology, payments, responsible gaming, affiliate marketing and market growth. </w:t>
      </w:r>
    </w:p>
    <w:p w14:paraId="00000008" w14:textId="77777777" w:rsidR="00E414C8" w:rsidRDefault="00E414C8">
      <w:pPr>
        <w:rPr>
          <w:sz w:val="20"/>
          <w:szCs w:val="20"/>
        </w:rPr>
      </w:pPr>
    </w:p>
    <w:p w14:paraId="00000009" w14:textId="77777777" w:rsidR="00E414C8" w:rsidRDefault="00000000">
      <w:pPr>
        <w:pStyle w:val="Heading3"/>
        <w:keepNext w:val="0"/>
        <w:keepLines w:val="0"/>
        <w:spacing w:before="280"/>
        <w:rPr>
          <w:b/>
          <w:bCs/>
          <w:color w:val="000000"/>
          <w:sz w:val="20"/>
          <w:szCs w:val="20"/>
        </w:rPr>
      </w:pPr>
      <w:bookmarkStart w:id="0" w:name="_heading=h.wgsof3geri8h" w:colFirst="0" w:colLast="0"/>
      <w:bookmarkEnd w:id="0"/>
      <w:r>
        <w:rPr>
          <w:b/>
          <w:bCs/>
          <w:color w:val="000000"/>
          <w:sz w:val="20"/>
          <w:szCs w:val="20"/>
        </w:rPr>
        <w:t>Highlights on the Agenda</w:t>
      </w:r>
    </w:p>
    <w:p w14:paraId="0000000A" w14:textId="77777777" w:rsidR="00E414C8" w:rsidRDefault="00000000">
      <w:pPr>
        <w:pStyle w:val="Heading3"/>
        <w:keepNext w:val="0"/>
        <w:keepLines w:val="0"/>
        <w:spacing w:before="280"/>
        <w:rPr>
          <w:b/>
          <w:bCs/>
          <w:color w:val="000000"/>
          <w:sz w:val="20"/>
          <w:szCs w:val="20"/>
        </w:rPr>
      </w:pPr>
      <w:bookmarkStart w:id="1" w:name="_heading=h.f6iq1mjrra3h" w:colFirst="0" w:colLast="0"/>
      <w:bookmarkEnd w:id="1"/>
      <w:r>
        <w:rPr>
          <w:b/>
          <w:bCs/>
          <w:color w:val="000000"/>
          <w:sz w:val="20"/>
          <w:szCs w:val="20"/>
        </w:rPr>
        <w:t>Day 1 | Thursday, 24 September</w:t>
      </w:r>
    </w:p>
    <w:p w14:paraId="0000000B" w14:textId="77777777" w:rsidR="00E414C8" w:rsidRDefault="00000000">
      <w:pPr>
        <w:numPr>
          <w:ilvl w:val="0"/>
          <w:numId w:val="4"/>
        </w:numPr>
        <w:spacing w:before="240" w:after="0"/>
        <w:rPr>
          <w:sz w:val="20"/>
          <w:szCs w:val="20"/>
        </w:rPr>
      </w:pPr>
      <w:r>
        <w:rPr>
          <w:i/>
          <w:iCs/>
          <w:sz w:val="20"/>
          <w:szCs w:val="20"/>
        </w:rPr>
        <w:t>Channelisation &amp; Market Sustainability in Emerging Gaming Jurisdictions</w:t>
      </w:r>
      <w:r>
        <w:rPr>
          <w:sz w:val="20"/>
          <w:szCs w:val="20"/>
        </w:rPr>
        <w:t xml:space="preserve"> – reducing illegal gambling, strengthening player protection and supporting regulated market participation.</w:t>
      </w:r>
    </w:p>
    <w:p w14:paraId="0000000C" w14:textId="77777777" w:rsidR="00E414C8" w:rsidRDefault="00000000">
      <w:pPr>
        <w:numPr>
          <w:ilvl w:val="0"/>
          <w:numId w:val="4"/>
        </w:numPr>
        <w:spacing w:after="0"/>
        <w:rPr>
          <w:sz w:val="20"/>
          <w:szCs w:val="20"/>
        </w:rPr>
      </w:pPr>
      <w:r>
        <w:rPr>
          <w:i/>
          <w:iCs/>
          <w:sz w:val="20"/>
          <w:szCs w:val="20"/>
        </w:rPr>
        <w:t>Responsible Gaming &amp; Consumer Protection in the Digital Era</w:t>
      </w:r>
      <w:r>
        <w:rPr>
          <w:sz w:val="20"/>
          <w:szCs w:val="20"/>
        </w:rPr>
        <w:t xml:space="preserve"> – responsible gaming frameworks, affordability measures, behavioural monitoring and player protection.</w:t>
      </w:r>
    </w:p>
    <w:p w14:paraId="0000000D" w14:textId="77777777" w:rsidR="00E414C8" w:rsidRDefault="00000000">
      <w:pPr>
        <w:numPr>
          <w:ilvl w:val="0"/>
          <w:numId w:val="4"/>
        </w:numPr>
        <w:spacing w:after="240"/>
        <w:rPr>
          <w:sz w:val="20"/>
          <w:szCs w:val="20"/>
        </w:rPr>
      </w:pPr>
      <w:r>
        <w:rPr>
          <w:i/>
          <w:iCs/>
          <w:sz w:val="20"/>
          <w:szCs w:val="20"/>
        </w:rPr>
        <w:t>Georgia’s Export-Only Online Gaming Model: A New Opportunity for International Operators – Georgia’s proposed export-only online gaming licence, its commercial appeal, compliance requirements and the challenges of preventing domestic player access.</w:t>
      </w:r>
    </w:p>
    <w:p w14:paraId="0000000E" w14:textId="77777777" w:rsidR="00E414C8" w:rsidRDefault="00000000">
      <w:pPr>
        <w:pStyle w:val="Heading3"/>
        <w:keepNext w:val="0"/>
        <w:keepLines w:val="0"/>
        <w:spacing w:before="280"/>
        <w:rPr>
          <w:b/>
          <w:bCs/>
          <w:color w:val="000000"/>
          <w:sz w:val="20"/>
          <w:szCs w:val="20"/>
        </w:rPr>
      </w:pPr>
      <w:bookmarkStart w:id="2" w:name="_heading=h.umr01ghz7xi0" w:colFirst="0" w:colLast="0"/>
      <w:bookmarkEnd w:id="2"/>
      <w:r>
        <w:rPr>
          <w:b/>
          <w:bCs/>
          <w:color w:val="000000"/>
          <w:sz w:val="20"/>
          <w:szCs w:val="20"/>
        </w:rPr>
        <w:t>Day 2 | Friday, 25 September</w:t>
      </w:r>
    </w:p>
    <w:p w14:paraId="0000000F" w14:textId="77777777" w:rsidR="00E414C8" w:rsidRDefault="00000000">
      <w:pPr>
        <w:numPr>
          <w:ilvl w:val="0"/>
          <w:numId w:val="1"/>
        </w:numPr>
        <w:spacing w:before="240" w:after="0"/>
        <w:rPr>
          <w:sz w:val="20"/>
          <w:szCs w:val="20"/>
        </w:rPr>
      </w:pPr>
      <w:r>
        <w:rPr>
          <w:i/>
          <w:iCs/>
          <w:sz w:val="20"/>
          <w:szCs w:val="20"/>
        </w:rPr>
        <w:t>Localisation Strategies That Drive Player Engagement</w:t>
      </w:r>
      <w:r>
        <w:rPr>
          <w:sz w:val="20"/>
          <w:szCs w:val="20"/>
        </w:rPr>
        <w:t xml:space="preserve"> – language preferences, cultural nuances, mobile-first behaviour, customer retention and personalised gaming experiences.</w:t>
      </w:r>
    </w:p>
    <w:p w14:paraId="00000010" w14:textId="77777777" w:rsidR="00E414C8" w:rsidRDefault="00000000">
      <w:pPr>
        <w:numPr>
          <w:ilvl w:val="0"/>
          <w:numId w:val="1"/>
        </w:numPr>
        <w:spacing w:after="0"/>
        <w:rPr>
          <w:sz w:val="20"/>
          <w:szCs w:val="20"/>
        </w:rPr>
      </w:pPr>
      <w:r>
        <w:rPr>
          <w:i/>
          <w:iCs/>
          <w:sz w:val="20"/>
          <w:szCs w:val="20"/>
        </w:rPr>
        <w:t>Women in Gaming: Building Inclusive Leadership &amp; Future Talent</w:t>
      </w:r>
      <w:r>
        <w:rPr>
          <w:sz w:val="20"/>
          <w:szCs w:val="20"/>
        </w:rPr>
        <w:t xml:space="preserve"> – diversity, workforce development, leadership pipelines, mentorship and empowering the next generation of women across gaming and technology.</w:t>
      </w:r>
    </w:p>
    <w:p w14:paraId="00000011" w14:textId="77777777" w:rsidR="00E414C8" w:rsidRDefault="00000000">
      <w:pPr>
        <w:numPr>
          <w:ilvl w:val="0"/>
          <w:numId w:val="1"/>
        </w:numPr>
        <w:spacing w:after="240"/>
        <w:rPr>
          <w:sz w:val="20"/>
          <w:szCs w:val="20"/>
        </w:rPr>
      </w:pPr>
      <w:r>
        <w:rPr>
          <w:i/>
          <w:iCs/>
          <w:sz w:val="20"/>
          <w:szCs w:val="20"/>
        </w:rPr>
        <w:t>Prediction Markets &amp; the Future of Digital Wagering: Where Are We Heading?</w:t>
      </w:r>
      <w:r>
        <w:rPr>
          <w:sz w:val="20"/>
          <w:szCs w:val="20"/>
        </w:rPr>
        <w:t xml:space="preserve"> – prediction markets, event-based trading platforms, decentralised wagering models, regulatory considerations and emerging digital entertainment ecosystems.</w:t>
      </w:r>
    </w:p>
    <w:p w14:paraId="00000012" w14:textId="77777777" w:rsidR="00E414C8" w:rsidRDefault="00E414C8">
      <w:pPr>
        <w:rPr>
          <w:b/>
          <w:bCs/>
          <w:sz w:val="20"/>
          <w:szCs w:val="20"/>
        </w:rPr>
      </w:pPr>
    </w:p>
    <w:p w14:paraId="00000013" w14:textId="77777777" w:rsidR="00E414C8" w:rsidRDefault="00000000">
      <w:pPr>
        <w:rPr>
          <w:b/>
          <w:bCs/>
          <w:sz w:val="20"/>
          <w:szCs w:val="20"/>
        </w:rPr>
      </w:pPr>
      <w:r>
        <w:rPr>
          <w:b/>
          <w:bCs/>
          <w:sz w:val="20"/>
          <w:szCs w:val="20"/>
        </w:rPr>
        <w:t>Hear from the Region’s Most Established Gaming Leaders</w:t>
      </w:r>
    </w:p>
    <w:p w14:paraId="00000014" w14:textId="77777777" w:rsidR="00E414C8" w:rsidRDefault="00000000">
      <w:pPr>
        <w:rPr>
          <w:b/>
          <w:bCs/>
          <w:sz w:val="20"/>
          <w:szCs w:val="20"/>
        </w:rPr>
      </w:pPr>
      <w:r>
        <w:rPr>
          <w:sz w:val="20"/>
          <w:szCs w:val="20"/>
        </w:rPr>
        <w:t xml:space="preserve">A strong line-up of industry voices is set to take the stage at </w:t>
      </w:r>
      <w:proofErr w:type="spellStart"/>
      <w:r>
        <w:rPr>
          <w:b/>
          <w:bCs/>
          <w:sz w:val="20"/>
          <w:szCs w:val="20"/>
        </w:rPr>
        <w:t>SPiCE</w:t>
      </w:r>
      <w:proofErr w:type="spellEnd"/>
      <w:r>
        <w:rPr>
          <w:b/>
          <w:bCs/>
          <w:sz w:val="20"/>
          <w:szCs w:val="20"/>
        </w:rPr>
        <w:t xml:space="preserve"> Central Asia 2026</w:t>
      </w:r>
      <w:r>
        <w:rPr>
          <w:sz w:val="20"/>
          <w:szCs w:val="20"/>
        </w:rPr>
        <w:t>, including:</w:t>
      </w:r>
      <w:r>
        <w:rPr>
          <w:b/>
          <w:bCs/>
          <w:sz w:val="20"/>
          <w:szCs w:val="20"/>
        </w:rPr>
        <w:t xml:space="preserve"> </w:t>
      </w:r>
    </w:p>
    <w:p w14:paraId="00000015" w14:textId="77777777" w:rsidR="00E414C8" w:rsidRDefault="00000000">
      <w:pPr>
        <w:numPr>
          <w:ilvl w:val="0"/>
          <w:numId w:val="3"/>
        </w:numPr>
        <w:pBdr>
          <w:top w:val="nil"/>
          <w:left w:val="nil"/>
          <w:bottom w:val="nil"/>
          <w:right w:val="nil"/>
          <w:between w:val="nil"/>
        </w:pBdr>
        <w:rPr>
          <w:sz w:val="20"/>
          <w:szCs w:val="20"/>
        </w:rPr>
      </w:pPr>
      <w:r>
        <w:rPr>
          <w:b/>
          <w:bCs/>
          <w:color w:val="000000"/>
          <w:sz w:val="20"/>
          <w:szCs w:val="20"/>
        </w:rPr>
        <w:t>Alona Mamulaishvili</w:t>
      </w:r>
      <w:r>
        <w:rPr>
          <w:color w:val="000000"/>
          <w:sz w:val="20"/>
          <w:szCs w:val="20"/>
        </w:rPr>
        <w:t xml:space="preserve">, Managing Director, </w:t>
      </w:r>
      <w:r>
        <w:rPr>
          <w:b/>
          <w:bCs/>
          <w:color w:val="000000"/>
          <w:sz w:val="20"/>
          <w:szCs w:val="20"/>
        </w:rPr>
        <w:t>Gambling Consulting Authority</w:t>
      </w:r>
      <w:r>
        <w:rPr>
          <w:color w:val="000000"/>
          <w:sz w:val="20"/>
          <w:szCs w:val="20"/>
        </w:rPr>
        <w:t xml:space="preserve"> </w:t>
      </w:r>
    </w:p>
    <w:p w14:paraId="00000016" w14:textId="77777777" w:rsidR="00E414C8" w:rsidRDefault="00000000">
      <w:pPr>
        <w:numPr>
          <w:ilvl w:val="0"/>
          <w:numId w:val="3"/>
        </w:numPr>
        <w:pBdr>
          <w:top w:val="nil"/>
          <w:left w:val="nil"/>
          <w:bottom w:val="nil"/>
          <w:right w:val="nil"/>
          <w:between w:val="nil"/>
        </w:pBdr>
        <w:rPr>
          <w:sz w:val="20"/>
          <w:szCs w:val="20"/>
        </w:rPr>
      </w:pPr>
      <w:r>
        <w:rPr>
          <w:rFonts w:ascii="Arial" w:eastAsia="Arial" w:hAnsi="Arial" w:cs="Arial"/>
          <w:b/>
          <w:bCs/>
          <w:color w:val="121512"/>
          <w:sz w:val="20"/>
          <w:szCs w:val="20"/>
        </w:rPr>
        <w:lastRenderedPageBreak/>
        <w:t>Dimitri Tchitchinadze</w:t>
      </w:r>
      <w:r>
        <w:rPr>
          <w:rFonts w:ascii="Arial" w:eastAsia="Arial" w:hAnsi="Arial" w:cs="Arial"/>
          <w:color w:val="121512"/>
          <w:sz w:val="20"/>
          <w:szCs w:val="20"/>
        </w:rPr>
        <w:t xml:space="preserve">, SEO Manager, </w:t>
      </w:r>
      <w:r>
        <w:rPr>
          <w:rFonts w:ascii="Arial" w:eastAsia="Arial" w:hAnsi="Arial" w:cs="Arial"/>
          <w:b/>
          <w:bCs/>
          <w:color w:val="121512"/>
          <w:sz w:val="20"/>
          <w:szCs w:val="20"/>
        </w:rPr>
        <w:t>Leverage</w:t>
      </w:r>
    </w:p>
    <w:p w14:paraId="00000017" w14:textId="77777777" w:rsidR="00E414C8" w:rsidRDefault="00000000">
      <w:pPr>
        <w:numPr>
          <w:ilvl w:val="0"/>
          <w:numId w:val="2"/>
        </w:numPr>
      </w:pPr>
      <w:r>
        <w:rPr>
          <w:b/>
          <w:bCs/>
          <w:sz w:val="20"/>
          <w:szCs w:val="20"/>
        </w:rPr>
        <w:t>George Mamulaishvili</w:t>
      </w:r>
      <w:r>
        <w:rPr>
          <w:sz w:val="20"/>
          <w:szCs w:val="20"/>
        </w:rPr>
        <w:t xml:space="preserve">, Head of Administration, </w:t>
      </w:r>
      <w:r>
        <w:rPr>
          <w:b/>
          <w:bCs/>
          <w:sz w:val="20"/>
          <w:szCs w:val="20"/>
        </w:rPr>
        <w:t>Georgian Gambling Association</w:t>
      </w:r>
    </w:p>
    <w:p w14:paraId="00000018" w14:textId="77777777" w:rsidR="00E414C8" w:rsidRDefault="00000000">
      <w:pPr>
        <w:numPr>
          <w:ilvl w:val="0"/>
          <w:numId w:val="2"/>
        </w:numPr>
        <w:rPr>
          <w:b/>
          <w:bCs/>
        </w:rPr>
      </w:pPr>
      <w:r>
        <w:rPr>
          <w:b/>
          <w:bCs/>
          <w:sz w:val="20"/>
          <w:szCs w:val="20"/>
        </w:rPr>
        <w:t>Maka Gorgadze</w:t>
      </w:r>
      <w:r>
        <w:rPr>
          <w:sz w:val="20"/>
          <w:szCs w:val="20"/>
        </w:rPr>
        <w:t xml:space="preserve">, CMO, </w:t>
      </w:r>
      <w:r>
        <w:rPr>
          <w:b/>
          <w:bCs/>
          <w:sz w:val="20"/>
          <w:szCs w:val="20"/>
        </w:rPr>
        <w:t xml:space="preserve">Casino Adjara </w:t>
      </w:r>
    </w:p>
    <w:p w14:paraId="00000019" w14:textId="77777777" w:rsidR="00E414C8" w:rsidRDefault="00000000">
      <w:pPr>
        <w:numPr>
          <w:ilvl w:val="0"/>
          <w:numId w:val="2"/>
        </w:numPr>
        <w:rPr>
          <w:b/>
          <w:bCs/>
        </w:rPr>
      </w:pPr>
      <w:r>
        <w:rPr>
          <w:b/>
          <w:bCs/>
          <w:sz w:val="20"/>
          <w:szCs w:val="20"/>
        </w:rPr>
        <w:t>Sergei Mosolov</w:t>
      </w:r>
      <w:r>
        <w:rPr>
          <w:sz w:val="20"/>
          <w:szCs w:val="20"/>
        </w:rPr>
        <w:t xml:space="preserve">, Head of Sportsbook, </w:t>
      </w:r>
      <w:r>
        <w:rPr>
          <w:b/>
          <w:bCs/>
          <w:sz w:val="20"/>
          <w:szCs w:val="20"/>
        </w:rPr>
        <w:t xml:space="preserve">Deep Games </w:t>
      </w:r>
    </w:p>
    <w:p w14:paraId="0000001A" w14:textId="77777777" w:rsidR="00E414C8" w:rsidRDefault="00000000">
      <w:pPr>
        <w:ind w:left="720"/>
        <w:rPr>
          <w:sz w:val="20"/>
          <w:szCs w:val="20"/>
        </w:rPr>
      </w:pPr>
      <w:r>
        <w:rPr>
          <w:sz w:val="20"/>
          <w:szCs w:val="20"/>
        </w:rPr>
        <w:t>AND MANY MORE!</w:t>
      </w:r>
    </w:p>
    <w:p w14:paraId="0000001B" w14:textId="77777777" w:rsidR="00E414C8" w:rsidRDefault="00E414C8">
      <w:pPr>
        <w:rPr>
          <w:sz w:val="20"/>
          <w:szCs w:val="20"/>
        </w:rPr>
      </w:pPr>
    </w:p>
    <w:p w14:paraId="0000001C" w14:textId="77777777" w:rsidR="00E414C8" w:rsidRDefault="00000000">
      <w:pPr>
        <w:rPr>
          <w:b/>
          <w:bCs/>
          <w:sz w:val="20"/>
          <w:szCs w:val="20"/>
        </w:rPr>
      </w:pPr>
      <w:r>
        <w:rPr>
          <w:b/>
          <w:bCs/>
          <w:sz w:val="20"/>
          <w:szCs w:val="20"/>
        </w:rPr>
        <w:t>Attend, Sponsor or Exhibit</w:t>
      </w:r>
    </w:p>
    <w:p w14:paraId="0000001D" w14:textId="77777777" w:rsidR="00E414C8" w:rsidRDefault="00000000">
      <w:pPr>
        <w:rPr>
          <w:sz w:val="20"/>
          <w:szCs w:val="20"/>
        </w:rPr>
      </w:pPr>
      <w:r>
        <w:rPr>
          <w:rFonts w:ascii="Arial" w:eastAsia="Arial" w:hAnsi="Arial" w:cs="Arial"/>
          <w:sz w:val="20"/>
          <w:szCs w:val="20"/>
        </w:rPr>
        <w:t xml:space="preserve">Whether it’s through attending, sponsoring or exhibiting, </w:t>
      </w:r>
      <w:proofErr w:type="spellStart"/>
      <w:r>
        <w:rPr>
          <w:rFonts w:ascii="Arial" w:eastAsia="Arial" w:hAnsi="Arial" w:cs="Arial"/>
          <w:b/>
          <w:bCs/>
          <w:sz w:val="20"/>
          <w:szCs w:val="20"/>
        </w:rPr>
        <w:t>SPiCE</w:t>
      </w:r>
      <w:proofErr w:type="spellEnd"/>
      <w:r>
        <w:rPr>
          <w:rFonts w:ascii="Arial" w:eastAsia="Arial" w:hAnsi="Arial" w:cs="Arial"/>
          <w:b/>
          <w:bCs/>
          <w:sz w:val="20"/>
          <w:szCs w:val="20"/>
        </w:rPr>
        <w:t xml:space="preserve"> Central Asia 2026</w:t>
      </w:r>
      <w:r>
        <w:rPr>
          <w:rFonts w:ascii="Arial" w:eastAsia="Arial" w:hAnsi="Arial" w:cs="Arial"/>
          <w:sz w:val="20"/>
          <w:szCs w:val="20"/>
        </w:rPr>
        <w:t xml:space="preserve"> offers organisations opportunities to raise their profile, connect with the region’s gaming community and build valuable relationships with potential partners and key industry contacts.</w:t>
      </w:r>
    </w:p>
    <w:p w14:paraId="0000001E" w14:textId="77777777" w:rsidR="00E414C8" w:rsidRDefault="00000000">
      <w:pPr>
        <w:rPr>
          <w:sz w:val="20"/>
          <w:szCs w:val="20"/>
        </w:rPr>
      </w:pPr>
      <w:r>
        <w:rPr>
          <w:b/>
          <w:bCs/>
          <w:sz w:val="20"/>
          <w:szCs w:val="20"/>
        </w:rPr>
        <w:t>Register Now:</w:t>
      </w:r>
      <w:r>
        <w:rPr>
          <w:sz w:val="20"/>
          <w:szCs w:val="20"/>
        </w:rPr>
        <w:t xml:space="preserve"> </w:t>
      </w:r>
      <w:hyperlink r:id="rId6">
        <w:r>
          <w:rPr>
            <w:color w:val="467886"/>
            <w:sz w:val="20"/>
            <w:szCs w:val="20"/>
            <w:u w:val="single"/>
          </w:rPr>
          <w:t>https://www.spiceseries.com/sca</w:t>
        </w:r>
      </w:hyperlink>
      <w:r>
        <w:rPr>
          <w:sz w:val="20"/>
          <w:szCs w:val="20"/>
        </w:rPr>
        <w:t xml:space="preserve"> </w:t>
      </w:r>
    </w:p>
    <w:p w14:paraId="0000001F" w14:textId="77777777" w:rsidR="00E414C8" w:rsidRDefault="00E414C8">
      <w:pPr>
        <w:rPr>
          <w:sz w:val="20"/>
          <w:szCs w:val="20"/>
        </w:rPr>
      </w:pPr>
    </w:p>
    <w:p w14:paraId="00000020" w14:textId="77777777" w:rsidR="00E414C8" w:rsidRDefault="00000000">
      <w:pPr>
        <w:rPr>
          <w:b/>
          <w:bCs/>
          <w:sz w:val="20"/>
          <w:szCs w:val="20"/>
        </w:rPr>
      </w:pPr>
      <w:r>
        <w:rPr>
          <w:b/>
          <w:bCs/>
          <w:sz w:val="20"/>
          <w:szCs w:val="20"/>
        </w:rPr>
        <w:t>For sponsorship and exhibition enquiries, contact:</w:t>
      </w:r>
    </w:p>
    <w:p w14:paraId="00000021" w14:textId="77777777" w:rsidR="00E414C8" w:rsidRDefault="00000000">
      <w:pPr>
        <w:rPr>
          <w:sz w:val="20"/>
          <w:szCs w:val="20"/>
        </w:rPr>
      </w:pPr>
      <w:r>
        <w:rPr>
          <w:b/>
          <w:bCs/>
          <w:sz w:val="20"/>
          <w:szCs w:val="20"/>
        </w:rPr>
        <w:t>Lou-Mari Burnett</w:t>
      </w:r>
      <w:r>
        <w:rPr>
          <w:sz w:val="20"/>
          <w:szCs w:val="20"/>
        </w:rPr>
        <w:t>, Chief Operating Officer,</w:t>
      </w:r>
      <w:r>
        <w:rPr>
          <w:b/>
          <w:bCs/>
          <w:sz w:val="20"/>
          <w:szCs w:val="20"/>
        </w:rPr>
        <w:t xml:space="preserve"> Eventus International </w:t>
      </w:r>
      <w:r>
        <w:rPr>
          <w:sz w:val="20"/>
          <w:szCs w:val="20"/>
        </w:rPr>
        <w:t xml:space="preserve">loumari@eventus-international.com </w:t>
      </w:r>
    </w:p>
    <w:sectPr w:rsidR="00E414C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7B75CC9-DEB6-4C04-8E79-9381439DDBA7}"/>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738FA56-DC4B-44EE-B18E-27DF509B83DD}"/>
    <w:embedBold r:id="rId3" w:fontKey="{96FA6865-EEBF-40BB-B120-7A38354CEFF8}"/>
    <w:embedItalic r:id="rId4" w:fontKey="{C44F96D7-B21A-4888-B467-5718E48BC2D3}"/>
  </w:font>
  <w:font w:name="Play">
    <w:charset w:val="00"/>
    <w:family w:val="auto"/>
    <w:pitch w:val="default"/>
    <w:embedRegular r:id="rId5" w:fontKey="{634F9707-10E3-4F01-80B2-E17F33175E0B}"/>
  </w:font>
  <w:font w:name="Aptos Display">
    <w:charset w:val="00"/>
    <w:family w:val="swiss"/>
    <w:pitch w:val="variable"/>
    <w:sig w:usb0="20000287" w:usb1="00000003" w:usb2="00000000" w:usb3="00000000" w:csb0="0000019F" w:csb1="00000000"/>
    <w:embedRegular r:id="rId6" w:fontKey="{B3512004-36FA-41B6-A202-184CF41610AA}"/>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03BDE"/>
    <w:multiLevelType w:val="multilevel"/>
    <w:tmpl w:val="3FB44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B72502"/>
    <w:multiLevelType w:val="multilevel"/>
    <w:tmpl w:val="F09C4F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BFF21CB"/>
    <w:multiLevelType w:val="multilevel"/>
    <w:tmpl w:val="622CA4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8C509AB"/>
    <w:multiLevelType w:val="multilevel"/>
    <w:tmpl w:val="51188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2894729">
    <w:abstractNumId w:val="0"/>
  </w:num>
  <w:num w:numId="2" w16cid:durableId="86267972">
    <w:abstractNumId w:val="2"/>
  </w:num>
  <w:num w:numId="3" w16cid:durableId="28075276">
    <w:abstractNumId w:val="1"/>
  </w:num>
  <w:num w:numId="4" w16cid:durableId="2537115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4C8"/>
    <w:rsid w:val="00696333"/>
    <w:rsid w:val="008058BA"/>
    <w:rsid w:val="00E414C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B15E94-F3C3-47A8-B6BE-721CA4AB4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ZA" w:eastAsia="en-Z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AF6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AF6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AF9"/>
    <w:rPr>
      <w:rFonts w:eastAsiaTheme="majorEastAsia" w:cstheme="majorBidi"/>
      <w:color w:val="272727" w:themeColor="text1" w:themeTint="D8"/>
    </w:rPr>
  </w:style>
  <w:style w:type="character" w:customStyle="1" w:styleId="TitleChar">
    <w:name w:val="Title Char"/>
    <w:basedOn w:val="DefaultParagraphFont"/>
    <w:link w:val="Title"/>
    <w:uiPriority w:val="10"/>
    <w:rsid w:val="00AF6AF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AF6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AF9"/>
    <w:pPr>
      <w:spacing w:before="160"/>
      <w:jc w:val="center"/>
    </w:pPr>
    <w:rPr>
      <w:i/>
      <w:iCs/>
      <w:color w:val="404040" w:themeColor="text1" w:themeTint="BF"/>
    </w:rPr>
  </w:style>
  <w:style w:type="character" w:customStyle="1" w:styleId="QuoteChar">
    <w:name w:val="Quote Char"/>
    <w:basedOn w:val="DefaultParagraphFont"/>
    <w:link w:val="Quote"/>
    <w:uiPriority w:val="29"/>
    <w:rsid w:val="00AF6AF9"/>
    <w:rPr>
      <w:i/>
      <w:iCs/>
      <w:color w:val="404040" w:themeColor="text1" w:themeTint="BF"/>
    </w:rPr>
  </w:style>
  <w:style w:type="paragraph" w:styleId="ListParagraph">
    <w:name w:val="List Paragraph"/>
    <w:basedOn w:val="Normal"/>
    <w:uiPriority w:val="34"/>
    <w:qFormat/>
    <w:rsid w:val="00AF6AF9"/>
    <w:pPr>
      <w:ind w:left="720"/>
      <w:contextualSpacing/>
    </w:pPr>
  </w:style>
  <w:style w:type="character" w:styleId="IntenseEmphasis">
    <w:name w:val="Intense Emphasis"/>
    <w:basedOn w:val="DefaultParagraphFont"/>
    <w:uiPriority w:val="21"/>
    <w:qFormat/>
    <w:rsid w:val="00AF6AF9"/>
    <w:rPr>
      <w:i/>
      <w:iCs/>
      <w:color w:val="0F4761" w:themeColor="accent1" w:themeShade="BF"/>
    </w:rPr>
  </w:style>
  <w:style w:type="paragraph" w:styleId="IntenseQuote">
    <w:name w:val="Intense Quote"/>
    <w:basedOn w:val="Normal"/>
    <w:next w:val="Normal"/>
    <w:link w:val="IntenseQuoteChar"/>
    <w:uiPriority w:val="30"/>
    <w:qFormat/>
    <w:rsid w:val="00AF6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AF9"/>
    <w:rPr>
      <w:i/>
      <w:iCs/>
      <w:color w:val="0F4761" w:themeColor="accent1" w:themeShade="BF"/>
    </w:rPr>
  </w:style>
  <w:style w:type="character" w:styleId="IntenseReference">
    <w:name w:val="Intense Reference"/>
    <w:basedOn w:val="DefaultParagraphFont"/>
    <w:uiPriority w:val="32"/>
    <w:qFormat/>
    <w:rsid w:val="00AF6AF9"/>
    <w:rPr>
      <w:b/>
      <w:bCs/>
      <w:smallCaps/>
      <w:color w:val="0F4761" w:themeColor="accent1" w:themeShade="BF"/>
      <w:spacing w:val="5"/>
    </w:rPr>
  </w:style>
  <w:style w:type="character" w:styleId="Hyperlink">
    <w:name w:val="Hyperlink"/>
    <w:basedOn w:val="DefaultParagraphFont"/>
    <w:uiPriority w:val="99"/>
    <w:unhideWhenUsed/>
    <w:rsid w:val="00B96F43"/>
    <w:rPr>
      <w:color w:val="467886" w:themeColor="hyperlink"/>
      <w:u w:val="single"/>
    </w:rPr>
  </w:style>
  <w:style w:type="character" w:styleId="UnresolvedMention">
    <w:name w:val="Unresolved Mention"/>
    <w:basedOn w:val="DefaultParagraphFont"/>
    <w:uiPriority w:val="99"/>
    <w:semiHidden/>
    <w:unhideWhenUsed/>
    <w:rsid w:val="00B96F43"/>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piceseries.com/sca"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1tv27BA2ydj1B2J7lNumTZ3F1g==">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 Liberty</dc:creator>
  <cp:lastModifiedBy>Ashley Strydom</cp:lastModifiedBy>
  <cp:revision>2</cp:revision>
  <dcterms:created xsi:type="dcterms:W3CDTF">2026-08-21T08:15:00Z</dcterms:created>
  <dcterms:modified xsi:type="dcterms:W3CDTF">2026-08-24T11:12:00Z</dcterms:modified>
</cp:coreProperties>
</file>