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D5D65" w:rsidRDefault="00000000">
      <w:pPr>
        <w:rPr>
          <w:rFonts w:ascii="Arial" w:eastAsia="Arial" w:hAnsi="Arial" w:cs="Arial"/>
          <w:b/>
          <w:bCs/>
          <w:sz w:val="20"/>
          <w:szCs w:val="20"/>
        </w:rPr>
      </w:pPr>
      <w:sdt>
        <w:sdtPr>
          <w:tag w:val="goog_rdk_0"/>
          <w:id w:val="1252795097"/>
        </w:sdtPr>
        <w:sdtContent/>
      </w:sdt>
      <w:sdt>
        <w:sdtPr>
          <w:tag w:val="goog_rdk_1"/>
          <w:id w:val="1214750652"/>
        </w:sdtPr>
        <w:sdtContent/>
      </w:sdt>
      <w:sdt>
        <w:sdtPr>
          <w:tag w:val="goog_rdk_2"/>
          <w:id w:val="-1198947235"/>
        </w:sdtPr>
        <w:sdtContent/>
      </w:sdt>
      <w:r>
        <w:rPr>
          <w:rFonts w:ascii="Arial" w:eastAsia="Arial" w:hAnsi="Arial" w:cs="Arial"/>
          <w:b/>
          <w:bCs/>
          <w:sz w:val="20"/>
          <w:szCs w:val="20"/>
        </w:rPr>
        <w:t>PRESS RELEASE</w:t>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t xml:space="preserve"> 6 July 2026</w:t>
      </w:r>
      <w:r>
        <w:rPr>
          <w:rFonts w:ascii="Arial" w:eastAsia="Arial" w:hAnsi="Arial" w:cs="Arial"/>
          <w:b/>
          <w:bCs/>
          <w:sz w:val="20"/>
          <w:szCs w:val="20"/>
        </w:rPr>
        <w:br/>
      </w:r>
    </w:p>
    <w:p w14:paraId="00000002" w14:textId="77777777" w:rsidR="004D5D65" w:rsidRDefault="00000000">
      <w:pPr>
        <w:rPr>
          <w:rFonts w:ascii="Arial" w:eastAsia="Arial" w:hAnsi="Arial" w:cs="Arial"/>
          <w:b/>
          <w:bCs/>
          <w:sz w:val="20"/>
          <w:szCs w:val="20"/>
        </w:rPr>
      </w:pPr>
      <w:r>
        <w:rPr>
          <w:rFonts w:ascii="Arial" w:eastAsia="Arial" w:hAnsi="Arial" w:cs="Arial"/>
          <w:b/>
          <w:bCs/>
          <w:sz w:val="20"/>
          <w:szCs w:val="20"/>
        </w:rPr>
        <w:t xml:space="preserve">FOR IMMEDIATE </w:t>
      </w:r>
    </w:p>
    <w:p w14:paraId="00000003" w14:textId="77777777" w:rsidR="004D5D65" w:rsidRDefault="004D5D65">
      <w:pPr>
        <w:rPr>
          <w:rFonts w:ascii="Arial" w:eastAsia="Arial" w:hAnsi="Arial" w:cs="Arial"/>
          <w:b/>
          <w:bCs/>
          <w:sz w:val="20"/>
          <w:szCs w:val="20"/>
        </w:rPr>
      </w:pPr>
    </w:p>
    <w:p w14:paraId="00000004" w14:textId="77777777" w:rsidR="004D5D65" w:rsidRDefault="00000000">
      <w:pPr>
        <w:jc w:val="center"/>
        <w:rPr>
          <w:rFonts w:ascii="Arial" w:eastAsia="Arial" w:hAnsi="Arial" w:cs="Arial"/>
          <w:sz w:val="20"/>
          <w:szCs w:val="20"/>
        </w:rPr>
      </w:pPr>
      <w:bookmarkStart w:id="0" w:name="_heading=h.cfyk2c7xh02u" w:colFirst="0" w:colLast="0"/>
      <w:bookmarkEnd w:id="0"/>
      <w:r>
        <w:rPr>
          <w:rFonts w:ascii="Arial" w:eastAsia="Arial" w:hAnsi="Arial" w:cs="Arial"/>
          <w:b/>
          <w:bCs/>
          <w:sz w:val="20"/>
          <w:szCs w:val="20"/>
          <w:u w:val="single"/>
        </w:rPr>
        <w:t>Two Months Until LiGA Summit 2026 &amp; the Debut of Prediction Markets Summit Americas</w:t>
      </w:r>
    </w:p>
    <w:p w14:paraId="00000005" w14:textId="77777777" w:rsidR="004D5D65" w:rsidRDefault="004D5D65">
      <w:pPr>
        <w:spacing w:before="240" w:after="240" w:line="276" w:lineRule="auto"/>
        <w:rPr>
          <w:rFonts w:ascii="Arial" w:eastAsia="Arial" w:hAnsi="Arial" w:cs="Arial"/>
          <w:sz w:val="20"/>
          <w:szCs w:val="20"/>
        </w:rPr>
      </w:pPr>
    </w:p>
    <w:p w14:paraId="00000006" w14:textId="77777777" w:rsidR="004D5D65" w:rsidRDefault="00000000">
      <w:pPr>
        <w:spacing w:before="240" w:after="240" w:line="276" w:lineRule="auto"/>
        <w:rPr>
          <w:rFonts w:ascii="Arial" w:eastAsia="Arial" w:hAnsi="Arial" w:cs="Arial"/>
          <w:sz w:val="20"/>
          <w:szCs w:val="20"/>
        </w:rPr>
      </w:pPr>
      <w:r>
        <w:rPr>
          <w:rFonts w:ascii="Arial" w:eastAsia="Arial" w:hAnsi="Arial" w:cs="Arial"/>
          <w:sz w:val="20"/>
          <w:szCs w:val="20"/>
        </w:rPr>
        <w:t xml:space="preserve">In just over two months, the inaugural </w:t>
      </w:r>
      <w:r>
        <w:rPr>
          <w:rFonts w:ascii="Arial" w:eastAsia="Arial" w:hAnsi="Arial" w:cs="Arial"/>
          <w:b/>
          <w:bCs/>
          <w:sz w:val="20"/>
          <w:szCs w:val="20"/>
        </w:rPr>
        <w:t xml:space="preserve">LatAm iGaming Affiliate (LiGA) Summit 2026 </w:t>
      </w:r>
      <w:r>
        <w:rPr>
          <w:rFonts w:ascii="Arial" w:eastAsia="Arial" w:hAnsi="Arial" w:cs="Arial"/>
          <w:sz w:val="20"/>
          <w:szCs w:val="20"/>
        </w:rPr>
        <w:t xml:space="preserve">will welcome renowned regional and international gaming stakeholders to </w:t>
      </w:r>
      <w:r>
        <w:rPr>
          <w:rFonts w:ascii="Arial" w:eastAsia="Arial" w:hAnsi="Arial" w:cs="Arial"/>
          <w:b/>
          <w:bCs/>
          <w:sz w:val="20"/>
          <w:szCs w:val="20"/>
        </w:rPr>
        <w:t>Lima</w:t>
      </w:r>
      <w:r>
        <w:rPr>
          <w:rFonts w:ascii="Arial" w:eastAsia="Arial" w:hAnsi="Arial" w:cs="Arial"/>
          <w:sz w:val="20"/>
          <w:szCs w:val="20"/>
        </w:rPr>
        <w:t>,</w:t>
      </w:r>
      <w:r>
        <w:rPr>
          <w:rFonts w:ascii="Arial" w:eastAsia="Arial" w:hAnsi="Arial" w:cs="Arial"/>
          <w:b/>
          <w:bCs/>
          <w:sz w:val="20"/>
          <w:szCs w:val="20"/>
        </w:rPr>
        <w:t xml:space="preserve"> Peru</w:t>
      </w:r>
      <w:r>
        <w:rPr>
          <w:rFonts w:ascii="Arial" w:eastAsia="Arial" w:hAnsi="Arial" w:cs="Arial"/>
          <w:sz w:val="20"/>
          <w:szCs w:val="20"/>
        </w:rPr>
        <w:t xml:space="preserve"> on </w:t>
      </w:r>
      <w:r>
        <w:rPr>
          <w:rFonts w:ascii="Arial" w:eastAsia="Arial" w:hAnsi="Arial" w:cs="Arial"/>
          <w:b/>
          <w:bCs/>
          <w:sz w:val="20"/>
          <w:szCs w:val="20"/>
        </w:rPr>
        <w:t>17–18 September 2026</w:t>
      </w:r>
      <w:r>
        <w:rPr>
          <w:rFonts w:ascii="Arial" w:eastAsia="Arial" w:hAnsi="Arial" w:cs="Arial"/>
          <w:sz w:val="20"/>
          <w:szCs w:val="20"/>
        </w:rPr>
        <w:t xml:space="preserve"> at the </w:t>
      </w:r>
      <w:r>
        <w:rPr>
          <w:rFonts w:ascii="Arial" w:eastAsia="Arial" w:hAnsi="Arial" w:cs="Arial"/>
          <w:b/>
          <w:bCs/>
          <w:sz w:val="20"/>
          <w:szCs w:val="20"/>
        </w:rPr>
        <w:t>El Pardo Lima - A DoubleTree by Hilton Hotel</w:t>
      </w:r>
      <w:r>
        <w:rPr>
          <w:rFonts w:ascii="Arial" w:eastAsia="Arial" w:hAnsi="Arial" w:cs="Arial"/>
          <w:sz w:val="20"/>
          <w:szCs w:val="20"/>
        </w:rPr>
        <w:t xml:space="preserve">. Alongside the main summit programme, the </w:t>
      </w:r>
      <w:r>
        <w:rPr>
          <w:rFonts w:ascii="Arial" w:eastAsia="Arial" w:hAnsi="Arial" w:cs="Arial"/>
          <w:b/>
          <w:bCs/>
          <w:sz w:val="20"/>
          <w:szCs w:val="20"/>
        </w:rPr>
        <w:t>Prediction Markets Summit Americas</w:t>
      </w:r>
      <w:r>
        <w:rPr>
          <w:rFonts w:ascii="Arial" w:eastAsia="Arial" w:hAnsi="Arial" w:cs="Arial"/>
          <w:sz w:val="20"/>
          <w:szCs w:val="20"/>
        </w:rPr>
        <w:t xml:space="preserve"> will debut as a dedicated half-day stream on </w:t>
      </w:r>
      <w:r>
        <w:rPr>
          <w:rFonts w:ascii="Arial" w:eastAsia="Arial" w:hAnsi="Arial" w:cs="Arial"/>
          <w:b/>
          <w:bCs/>
          <w:sz w:val="20"/>
          <w:szCs w:val="20"/>
        </w:rPr>
        <w:t>18 September</w:t>
      </w:r>
      <w:r>
        <w:rPr>
          <w:rFonts w:ascii="Arial" w:eastAsia="Arial" w:hAnsi="Arial" w:cs="Arial"/>
          <w:sz w:val="20"/>
          <w:szCs w:val="20"/>
        </w:rPr>
        <w:t>, covering prediction markets, forecasting infrastructure, and event-based products within regulated gaming markets.</w:t>
      </w:r>
    </w:p>
    <w:p w14:paraId="00000007" w14:textId="77777777" w:rsidR="004D5D65" w:rsidRDefault="00000000">
      <w:pPr>
        <w:spacing w:line="276" w:lineRule="auto"/>
        <w:rPr>
          <w:rFonts w:ascii="Arial" w:eastAsia="Arial" w:hAnsi="Arial" w:cs="Arial"/>
          <w:sz w:val="20"/>
          <w:szCs w:val="20"/>
        </w:rPr>
      </w:pPr>
      <w:r>
        <w:rPr>
          <w:rFonts w:ascii="Arial" w:eastAsia="Arial" w:hAnsi="Arial" w:cs="Arial"/>
          <w:sz w:val="20"/>
          <w:szCs w:val="20"/>
        </w:rPr>
        <w:t>The upcoming summit follows Peru’s rollout of a new licensing framework and comes amid structural change across Latin America’s gaming sector. With increased regulatory clarity in place, the main agenda will spotlight the practical realities of market growth, including affiliate compliance, responsible marketing, AML and KYC obligations, and player protection frameworks.</w:t>
      </w:r>
    </w:p>
    <w:p w14:paraId="00000008" w14:textId="77777777" w:rsidR="004D5D65" w:rsidRDefault="004D5D65">
      <w:pPr>
        <w:spacing w:line="276" w:lineRule="auto"/>
        <w:rPr>
          <w:rFonts w:ascii="Arial" w:eastAsia="Arial" w:hAnsi="Arial" w:cs="Arial"/>
          <w:sz w:val="20"/>
          <w:szCs w:val="20"/>
        </w:rPr>
      </w:pPr>
    </w:p>
    <w:p w14:paraId="00000009" w14:textId="77777777" w:rsidR="004D5D65" w:rsidRDefault="00000000">
      <w:pPr>
        <w:spacing w:line="276" w:lineRule="auto"/>
        <w:rPr>
          <w:rFonts w:ascii="Arial" w:eastAsia="Arial" w:hAnsi="Arial" w:cs="Arial"/>
          <w:b/>
          <w:bCs/>
          <w:sz w:val="20"/>
          <w:szCs w:val="20"/>
        </w:rPr>
      </w:pPr>
      <w:r>
        <w:rPr>
          <w:rFonts w:ascii="Arial" w:eastAsia="Arial" w:hAnsi="Arial" w:cs="Arial"/>
          <w:b/>
          <w:bCs/>
          <w:sz w:val="20"/>
          <w:szCs w:val="20"/>
        </w:rPr>
        <w:t>Highlights on the Agenda</w:t>
      </w:r>
    </w:p>
    <w:p w14:paraId="0000000A" w14:textId="77777777" w:rsidR="004D5D65" w:rsidRDefault="00000000">
      <w:pPr>
        <w:spacing w:line="276" w:lineRule="auto"/>
        <w:rPr>
          <w:rFonts w:ascii="Arial" w:eastAsia="Arial" w:hAnsi="Arial" w:cs="Arial"/>
          <w:sz w:val="20"/>
          <w:szCs w:val="20"/>
        </w:rPr>
      </w:pPr>
      <w:r>
        <w:rPr>
          <w:rFonts w:ascii="Arial" w:eastAsia="Arial" w:hAnsi="Arial" w:cs="Arial"/>
          <w:b/>
          <w:bCs/>
          <w:sz w:val="20"/>
          <w:szCs w:val="20"/>
        </w:rPr>
        <w:t>LiGA Summit 2026</w:t>
      </w:r>
      <w:r>
        <w:rPr>
          <w:rFonts w:ascii="Arial" w:eastAsia="Arial" w:hAnsi="Arial" w:cs="Arial"/>
          <w:sz w:val="20"/>
          <w:szCs w:val="20"/>
        </w:rPr>
        <w:t xml:space="preserve"> will focus on regulatory, operational, and commercial dynamics in Latin America’s gaming sector. Specific discussions include:</w:t>
      </w:r>
    </w:p>
    <w:p w14:paraId="0000000B" w14:textId="77777777" w:rsidR="004D5D65" w:rsidRDefault="00000000">
      <w:pPr>
        <w:spacing w:line="276" w:lineRule="auto"/>
        <w:rPr>
          <w:rFonts w:ascii="Arial" w:eastAsia="Arial" w:hAnsi="Arial" w:cs="Arial"/>
          <w:sz w:val="20"/>
          <w:szCs w:val="20"/>
        </w:rPr>
      </w:pPr>
      <w:r>
        <w:rPr>
          <w:rFonts w:ascii="Arial" w:eastAsia="Arial" w:hAnsi="Arial" w:cs="Arial"/>
          <w:b/>
          <w:bCs/>
          <w:sz w:val="20"/>
          <w:szCs w:val="20"/>
        </w:rPr>
        <w:t xml:space="preserve">Day One | Thursday, 17 September </w:t>
      </w:r>
    </w:p>
    <w:p w14:paraId="0000000C" w14:textId="77777777" w:rsidR="004D5D65" w:rsidRDefault="00000000">
      <w:pPr>
        <w:numPr>
          <w:ilvl w:val="0"/>
          <w:numId w:val="1"/>
        </w:numPr>
        <w:pBdr>
          <w:top w:val="nil"/>
          <w:left w:val="nil"/>
          <w:bottom w:val="nil"/>
          <w:right w:val="nil"/>
          <w:between w:val="nil"/>
        </w:pBdr>
        <w:spacing w:after="0" w:line="276" w:lineRule="auto"/>
        <w:rPr>
          <w:rFonts w:ascii="Arial" w:eastAsia="Arial" w:hAnsi="Arial" w:cs="Arial"/>
          <w:i/>
          <w:iCs/>
          <w:color w:val="000000"/>
          <w:sz w:val="20"/>
          <w:szCs w:val="20"/>
        </w:rPr>
      </w:pPr>
      <w:r>
        <w:rPr>
          <w:rFonts w:ascii="Arial" w:eastAsia="Arial" w:hAnsi="Arial" w:cs="Arial"/>
          <w:i/>
          <w:iCs/>
          <w:color w:val="000000"/>
          <w:sz w:val="20"/>
          <w:szCs w:val="20"/>
        </w:rPr>
        <w:t>Peru’s New Licensing Era and Its Impact on Market Stability</w:t>
      </w:r>
    </w:p>
    <w:p w14:paraId="0000000D" w14:textId="77777777" w:rsidR="004D5D65" w:rsidRDefault="00000000">
      <w:pPr>
        <w:numPr>
          <w:ilvl w:val="0"/>
          <w:numId w:val="1"/>
        </w:numPr>
        <w:pBdr>
          <w:top w:val="nil"/>
          <w:left w:val="nil"/>
          <w:bottom w:val="nil"/>
          <w:right w:val="nil"/>
          <w:between w:val="nil"/>
        </w:pBdr>
        <w:spacing w:after="0" w:line="276" w:lineRule="auto"/>
        <w:rPr>
          <w:rFonts w:ascii="Arial" w:eastAsia="Arial" w:hAnsi="Arial" w:cs="Arial"/>
          <w:i/>
          <w:iCs/>
          <w:color w:val="000000"/>
          <w:sz w:val="20"/>
          <w:szCs w:val="20"/>
        </w:rPr>
      </w:pPr>
      <w:r>
        <w:rPr>
          <w:rFonts w:ascii="Arial" w:eastAsia="Arial" w:hAnsi="Arial" w:cs="Arial"/>
          <w:i/>
          <w:iCs/>
          <w:color w:val="000000"/>
          <w:sz w:val="20"/>
          <w:szCs w:val="20"/>
        </w:rPr>
        <w:t>Peru at the Centre of LatAm iGaming: From Regulation to Profitability</w:t>
      </w:r>
    </w:p>
    <w:p w14:paraId="0000000E" w14:textId="77777777" w:rsidR="004D5D65" w:rsidRDefault="00000000">
      <w:pPr>
        <w:numPr>
          <w:ilvl w:val="0"/>
          <w:numId w:val="1"/>
        </w:numPr>
        <w:pBdr>
          <w:top w:val="nil"/>
          <w:left w:val="nil"/>
          <w:bottom w:val="nil"/>
          <w:right w:val="nil"/>
          <w:between w:val="nil"/>
        </w:pBdr>
        <w:spacing w:line="276" w:lineRule="auto"/>
        <w:rPr>
          <w:rFonts w:ascii="Arial" w:eastAsia="Arial" w:hAnsi="Arial" w:cs="Arial"/>
          <w:i/>
          <w:iCs/>
          <w:color w:val="000000"/>
          <w:sz w:val="20"/>
          <w:szCs w:val="20"/>
        </w:rPr>
      </w:pPr>
      <w:r>
        <w:rPr>
          <w:rFonts w:ascii="Arial" w:eastAsia="Arial" w:hAnsi="Arial" w:cs="Arial"/>
          <w:i/>
          <w:iCs/>
          <w:color w:val="000000"/>
          <w:sz w:val="20"/>
          <w:szCs w:val="20"/>
        </w:rPr>
        <w:t>The Rise of Creator Affiliates in Latin America: TikTok, YouTube, and Short-Form Performance Marketing</w:t>
      </w:r>
    </w:p>
    <w:p w14:paraId="0000000F" w14:textId="77777777" w:rsidR="004D5D65" w:rsidRDefault="004D5D65">
      <w:pPr>
        <w:spacing w:line="276" w:lineRule="auto"/>
        <w:rPr>
          <w:rFonts w:ascii="Arial" w:eastAsia="Arial" w:hAnsi="Arial" w:cs="Arial"/>
          <w:sz w:val="20"/>
          <w:szCs w:val="20"/>
        </w:rPr>
      </w:pPr>
    </w:p>
    <w:p w14:paraId="00000010" w14:textId="77777777" w:rsidR="004D5D65" w:rsidRDefault="00000000">
      <w:pPr>
        <w:spacing w:line="276" w:lineRule="auto"/>
        <w:rPr>
          <w:rFonts w:ascii="Arial" w:eastAsia="Arial" w:hAnsi="Arial" w:cs="Arial"/>
          <w:b/>
          <w:bCs/>
          <w:sz w:val="20"/>
          <w:szCs w:val="20"/>
        </w:rPr>
      </w:pPr>
      <w:r>
        <w:rPr>
          <w:rFonts w:ascii="Arial" w:eastAsia="Arial" w:hAnsi="Arial" w:cs="Arial"/>
          <w:b/>
          <w:bCs/>
          <w:sz w:val="20"/>
          <w:szCs w:val="20"/>
        </w:rPr>
        <w:t>Day Two | Friday, 18 September – Main Summit</w:t>
      </w:r>
    </w:p>
    <w:p w14:paraId="00000011" w14:textId="77777777" w:rsidR="004D5D65" w:rsidRDefault="00000000">
      <w:pPr>
        <w:numPr>
          <w:ilvl w:val="0"/>
          <w:numId w:val="2"/>
        </w:numPr>
        <w:pBdr>
          <w:top w:val="nil"/>
          <w:left w:val="nil"/>
          <w:bottom w:val="nil"/>
          <w:right w:val="nil"/>
          <w:between w:val="nil"/>
        </w:pBdr>
        <w:spacing w:after="0" w:line="276" w:lineRule="auto"/>
        <w:rPr>
          <w:rFonts w:ascii="Arial" w:eastAsia="Arial" w:hAnsi="Arial" w:cs="Arial"/>
          <w:i/>
          <w:iCs/>
          <w:color w:val="000000"/>
          <w:sz w:val="20"/>
          <w:szCs w:val="20"/>
        </w:rPr>
      </w:pPr>
      <w:r>
        <w:rPr>
          <w:rFonts w:ascii="Arial" w:eastAsia="Arial" w:hAnsi="Arial" w:cs="Arial"/>
          <w:i/>
          <w:iCs/>
          <w:color w:val="000000"/>
          <w:sz w:val="20"/>
          <w:szCs w:val="20"/>
        </w:rPr>
        <w:t>Regulatory Cooperation Across Latin America – Pathways to Regional Alignment</w:t>
      </w:r>
    </w:p>
    <w:p w14:paraId="00000012" w14:textId="77777777" w:rsidR="004D5D65" w:rsidRDefault="00000000">
      <w:pPr>
        <w:numPr>
          <w:ilvl w:val="0"/>
          <w:numId w:val="2"/>
        </w:numPr>
        <w:pBdr>
          <w:top w:val="nil"/>
          <w:left w:val="nil"/>
          <w:bottom w:val="nil"/>
          <w:right w:val="nil"/>
          <w:between w:val="nil"/>
        </w:pBdr>
        <w:spacing w:after="0" w:line="276" w:lineRule="auto"/>
        <w:rPr>
          <w:rFonts w:ascii="Arial" w:eastAsia="Arial" w:hAnsi="Arial" w:cs="Arial"/>
          <w:i/>
          <w:iCs/>
          <w:color w:val="000000"/>
          <w:sz w:val="20"/>
          <w:szCs w:val="20"/>
        </w:rPr>
      </w:pPr>
      <w:r>
        <w:rPr>
          <w:rFonts w:ascii="Arial" w:eastAsia="Arial" w:hAnsi="Arial" w:cs="Arial"/>
          <w:i/>
          <w:iCs/>
          <w:color w:val="000000"/>
          <w:sz w:val="20"/>
          <w:szCs w:val="20"/>
        </w:rPr>
        <w:t>The New Age of AML and KYC in Peru’s Digital Betting Market</w:t>
      </w:r>
    </w:p>
    <w:p w14:paraId="00000013" w14:textId="77777777" w:rsidR="004D5D65" w:rsidRDefault="00000000">
      <w:pPr>
        <w:numPr>
          <w:ilvl w:val="0"/>
          <w:numId w:val="2"/>
        </w:numPr>
        <w:pBdr>
          <w:top w:val="nil"/>
          <w:left w:val="nil"/>
          <w:bottom w:val="nil"/>
          <w:right w:val="nil"/>
          <w:between w:val="nil"/>
        </w:pBdr>
        <w:spacing w:line="276" w:lineRule="auto"/>
        <w:rPr>
          <w:rFonts w:ascii="Arial" w:eastAsia="Arial" w:hAnsi="Arial" w:cs="Arial"/>
          <w:i/>
          <w:iCs/>
          <w:color w:val="000000"/>
          <w:sz w:val="20"/>
          <w:szCs w:val="20"/>
        </w:rPr>
      </w:pPr>
      <w:r>
        <w:rPr>
          <w:rFonts w:ascii="Arial" w:eastAsia="Arial" w:hAnsi="Arial" w:cs="Arial"/>
          <w:i/>
          <w:iCs/>
          <w:color w:val="000000"/>
          <w:sz w:val="20"/>
          <w:szCs w:val="20"/>
        </w:rPr>
        <w:t>Responsible Marketing: Maintaining Growth While Meeting New Compliance Standards</w:t>
      </w:r>
    </w:p>
    <w:p w14:paraId="00000014" w14:textId="77777777" w:rsidR="004D5D65" w:rsidRDefault="004D5D65">
      <w:pPr>
        <w:spacing w:line="276" w:lineRule="auto"/>
        <w:rPr>
          <w:rFonts w:ascii="Arial" w:eastAsia="Arial" w:hAnsi="Arial" w:cs="Arial"/>
          <w:sz w:val="20"/>
          <w:szCs w:val="20"/>
        </w:rPr>
      </w:pPr>
    </w:p>
    <w:p w14:paraId="00000015" w14:textId="77777777" w:rsidR="004D5D65" w:rsidRDefault="00000000">
      <w:pPr>
        <w:spacing w:line="276" w:lineRule="auto"/>
        <w:rPr>
          <w:rFonts w:ascii="Arial" w:eastAsia="Arial" w:hAnsi="Arial" w:cs="Arial"/>
          <w:b/>
          <w:bCs/>
          <w:sz w:val="20"/>
          <w:szCs w:val="20"/>
        </w:rPr>
      </w:pPr>
      <w:r>
        <w:rPr>
          <w:rFonts w:ascii="Arial" w:eastAsia="Arial" w:hAnsi="Arial" w:cs="Arial"/>
          <w:b/>
          <w:bCs/>
          <w:sz w:val="20"/>
          <w:szCs w:val="20"/>
        </w:rPr>
        <w:t>Day Two | Friday, 18 September – Prediction Markets, Forecasting &amp; Event-Based Products</w:t>
      </w:r>
    </w:p>
    <w:p w14:paraId="00000016" w14:textId="77777777" w:rsidR="004D5D65" w:rsidRDefault="00000000">
      <w:pPr>
        <w:numPr>
          <w:ilvl w:val="0"/>
          <w:numId w:val="3"/>
        </w:numPr>
        <w:pBdr>
          <w:top w:val="nil"/>
          <w:left w:val="nil"/>
          <w:bottom w:val="nil"/>
          <w:right w:val="nil"/>
          <w:between w:val="nil"/>
        </w:pBdr>
        <w:spacing w:after="0" w:line="276" w:lineRule="auto"/>
        <w:rPr>
          <w:rFonts w:ascii="Arial" w:eastAsia="Arial" w:hAnsi="Arial" w:cs="Arial"/>
          <w:i/>
          <w:iCs/>
          <w:color w:val="000000"/>
          <w:sz w:val="20"/>
          <w:szCs w:val="20"/>
        </w:rPr>
      </w:pPr>
      <w:r>
        <w:rPr>
          <w:rFonts w:ascii="Arial" w:eastAsia="Arial" w:hAnsi="Arial" w:cs="Arial"/>
          <w:i/>
          <w:iCs/>
          <w:color w:val="000000"/>
          <w:sz w:val="20"/>
          <w:szCs w:val="20"/>
        </w:rPr>
        <w:t>Building Trust in Event-Based Products: Fraud Prevention, Cybersecurity and Market Integrity</w:t>
      </w:r>
    </w:p>
    <w:p w14:paraId="00000017" w14:textId="77777777" w:rsidR="004D5D65" w:rsidRDefault="00000000">
      <w:pPr>
        <w:numPr>
          <w:ilvl w:val="0"/>
          <w:numId w:val="3"/>
        </w:numPr>
        <w:pBdr>
          <w:top w:val="nil"/>
          <w:left w:val="nil"/>
          <w:bottom w:val="nil"/>
          <w:right w:val="nil"/>
          <w:between w:val="nil"/>
        </w:pBdr>
        <w:spacing w:after="0" w:line="276" w:lineRule="auto"/>
        <w:rPr>
          <w:rFonts w:ascii="Arial" w:eastAsia="Arial" w:hAnsi="Arial" w:cs="Arial"/>
          <w:i/>
          <w:iCs/>
          <w:color w:val="000000"/>
          <w:sz w:val="20"/>
          <w:szCs w:val="20"/>
        </w:rPr>
      </w:pPr>
      <w:r>
        <w:rPr>
          <w:rFonts w:ascii="Arial" w:eastAsia="Arial" w:hAnsi="Arial" w:cs="Arial"/>
          <w:i/>
          <w:iCs/>
          <w:color w:val="000000"/>
          <w:sz w:val="20"/>
          <w:szCs w:val="20"/>
        </w:rPr>
        <w:t>Brazil’s Regulatory Signal: What LatAm Can Learn from Prediction Market Regulation</w:t>
      </w:r>
    </w:p>
    <w:p w14:paraId="00000018" w14:textId="77777777" w:rsidR="004D5D65" w:rsidRDefault="00000000">
      <w:pPr>
        <w:numPr>
          <w:ilvl w:val="0"/>
          <w:numId w:val="3"/>
        </w:numPr>
        <w:pBdr>
          <w:top w:val="nil"/>
          <w:left w:val="nil"/>
          <w:bottom w:val="nil"/>
          <w:right w:val="nil"/>
          <w:between w:val="nil"/>
        </w:pBdr>
        <w:spacing w:line="276" w:lineRule="auto"/>
        <w:rPr>
          <w:rFonts w:ascii="Arial" w:eastAsia="Arial" w:hAnsi="Arial" w:cs="Arial"/>
          <w:i/>
          <w:iCs/>
          <w:color w:val="000000"/>
          <w:sz w:val="20"/>
          <w:szCs w:val="20"/>
        </w:rPr>
      </w:pPr>
      <w:r>
        <w:rPr>
          <w:rFonts w:ascii="Arial" w:eastAsia="Arial" w:hAnsi="Arial" w:cs="Arial"/>
          <w:i/>
          <w:iCs/>
          <w:color w:val="000000"/>
          <w:sz w:val="20"/>
          <w:szCs w:val="20"/>
        </w:rPr>
        <w:t>Beyond Betting: Forecasting Tools for Media, Business Intelligence and Public Decision-Making</w:t>
      </w:r>
    </w:p>
    <w:p w14:paraId="00000019" w14:textId="77777777" w:rsidR="004D5D65" w:rsidRDefault="004D5D65">
      <w:pPr>
        <w:spacing w:line="276" w:lineRule="auto"/>
        <w:rPr>
          <w:rFonts w:ascii="Arial" w:eastAsia="Arial" w:hAnsi="Arial" w:cs="Arial"/>
          <w:sz w:val="20"/>
          <w:szCs w:val="20"/>
        </w:rPr>
      </w:pPr>
    </w:p>
    <w:p w14:paraId="0000001A" w14:textId="77777777" w:rsidR="004D5D65" w:rsidRDefault="004D5D65">
      <w:pPr>
        <w:spacing w:line="276" w:lineRule="auto"/>
        <w:rPr>
          <w:rFonts w:ascii="Arial" w:eastAsia="Arial" w:hAnsi="Arial" w:cs="Arial"/>
          <w:b/>
          <w:bCs/>
          <w:sz w:val="20"/>
          <w:szCs w:val="20"/>
        </w:rPr>
      </w:pPr>
    </w:p>
    <w:p w14:paraId="0000001B" w14:textId="77777777" w:rsidR="004D5D65" w:rsidRDefault="004D5D65">
      <w:pPr>
        <w:spacing w:line="276" w:lineRule="auto"/>
        <w:rPr>
          <w:rFonts w:ascii="Arial" w:eastAsia="Arial" w:hAnsi="Arial" w:cs="Arial"/>
          <w:b/>
          <w:bCs/>
          <w:sz w:val="20"/>
          <w:szCs w:val="20"/>
        </w:rPr>
      </w:pPr>
    </w:p>
    <w:p w14:paraId="0000001C" w14:textId="77777777" w:rsidR="004D5D65" w:rsidRDefault="00000000">
      <w:pPr>
        <w:spacing w:line="276" w:lineRule="auto"/>
        <w:rPr>
          <w:rFonts w:ascii="Arial" w:eastAsia="Arial" w:hAnsi="Arial" w:cs="Arial"/>
          <w:b/>
          <w:bCs/>
          <w:sz w:val="20"/>
          <w:szCs w:val="20"/>
        </w:rPr>
      </w:pPr>
      <w:r>
        <w:rPr>
          <w:rFonts w:ascii="Arial" w:eastAsia="Arial" w:hAnsi="Arial" w:cs="Arial"/>
          <w:b/>
          <w:bCs/>
          <w:sz w:val="20"/>
          <w:szCs w:val="20"/>
        </w:rPr>
        <w:lastRenderedPageBreak/>
        <w:t>Hear from LatAm’s Renowned Gaming Leaders</w:t>
      </w:r>
    </w:p>
    <w:p w14:paraId="0000001D" w14:textId="77777777" w:rsidR="004D5D65" w:rsidRDefault="00000000">
      <w:pPr>
        <w:spacing w:line="276" w:lineRule="auto"/>
        <w:rPr>
          <w:rFonts w:ascii="Arial" w:eastAsia="Arial" w:hAnsi="Arial" w:cs="Arial"/>
          <w:sz w:val="20"/>
          <w:szCs w:val="20"/>
        </w:rPr>
      </w:pPr>
      <w:r>
        <w:rPr>
          <w:rFonts w:ascii="Arial" w:eastAsia="Arial" w:hAnsi="Arial" w:cs="Arial"/>
          <w:sz w:val="20"/>
          <w:szCs w:val="20"/>
        </w:rPr>
        <w:t xml:space="preserve">There will be a range of respected industry stakeholders participating in </w:t>
      </w:r>
      <w:r>
        <w:rPr>
          <w:rFonts w:ascii="Arial" w:eastAsia="Arial" w:hAnsi="Arial" w:cs="Arial"/>
          <w:b/>
          <w:bCs/>
          <w:sz w:val="20"/>
          <w:szCs w:val="20"/>
        </w:rPr>
        <w:t>LiGA Summit 2026</w:t>
      </w:r>
      <w:r>
        <w:rPr>
          <w:rFonts w:ascii="Arial" w:eastAsia="Arial" w:hAnsi="Arial" w:cs="Arial"/>
          <w:sz w:val="20"/>
          <w:szCs w:val="20"/>
        </w:rPr>
        <w:t>, including top operators, affiliates, legal experts, and technology providers.</w:t>
      </w:r>
    </w:p>
    <w:p w14:paraId="0000001E" w14:textId="77777777" w:rsidR="004D5D65" w:rsidRDefault="00000000">
      <w:pPr>
        <w:spacing w:line="276" w:lineRule="auto"/>
        <w:rPr>
          <w:rFonts w:ascii="Arial" w:eastAsia="Arial" w:hAnsi="Arial" w:cs="Arial"/>
          <w:sz w:val="20"/>
          <w:szCs w:val="20"/>
        </w:rPr>
      </w:pPr>
      <w:r>
        <w:rPr>
          <w:rFonts w:ascii="Arial" w:eastAsia="Arial" w:hAnsi="Arial" w:cs="Arial"/>
          <w:sz w:val="20"/>
          <w:szCs w:val="20"/>
        </w:rPr>
        <w:t>Confirmed contributors:</w:t>
      </w:r>
    </w:p>
    <w:p w14:paraId="0000001F" w14:textId="77777777" w:rsidR="004D5D65" w:rsidRDefault="00000000">
      <w:pPr>
        <w:numPr>
          <w:ilvl w:val="0"/>
          <w:numId w:val="4"/>
        </w:numPr>
        <w:pBdr>
          <w:top w:val="nil"/>
          <w:left w:val="nil"/>
          <w:bottom w:val="nil"/>
          <w:right w:val="nil"/>
          <w:between w:val="nil"/>
        </w:pBdr>
        <w:spacing w:after="0" w:line="276" w:lineRule="auto"/>
        <w:rPr>
          <w:rFonts w:ascii="Arial" w:eastAsia="Arial" w:hAnsi="Arial" w:cs="Arial"/>
          <w:b/>
          <w:bCs/>
          <w:color w:val="000000"/>
          <w:sz w:val="20"/>
          <w:szCs w:val="20"/>
        </w:rPr>
      </w:pPr>
      <w:r>
        <w:rPr>
          <w:rFonts w:ascii="Arial" w:eastAsia="Arial" w:hAnsi="Arial" w:cs="Arial"/>
          <w:b/>
          <w:bCs/>
          <w:color w:val="000000"/>
          <w:sz w:val="20"/>
          <w:szCs w:val="20"/>
        </w:rPr>
        <w:t>Celeste Arredondo</w:t>
      </w:r>
      <w:r>
        <w:rPr>
          <w:rFonts w:ascii="Arial" w:eastAsia="Arial" w:hAnsi="Arial" w:cs="Arial"/>
          <w:color w:val="000000"/>
          <w:sz w:val="20"/>
          <w:szCs w:val="20"/>
        </w:rPr>
        <w:t>, Founder,</w:t>
      </w:r>
      <w:r>
        <w:rPr>
          <w:rFonts w:ascii="Arial" w:eastAsia="Arial" w:hAnsi="Arial" w:cs="Arial"/>
          <w:b/>
          <w:bCs/>
          <w:color w:val="000000"/>
          <w:sz w:val="20"/>
          <w:szCs w:val="20"/>
        </w:rPr>
        <w:t xml:space="preserve"> International Gaming Women</w:t>
      </w:r>
    </w:p>
    <w:p w14:paraId="00000020" w14:textId="77777777" w:rsidR="004D5D65" w:rsidRDefault="00000000">
      <w:pPr>
        <w:numPr>
          <w:ilvl w:val="0"/>
          <w:numId w:val="4"/>
        </w:numPr>
        <w:pBdr>
          <w:top w:val="nil"/>
          <w:left w:val="nil"/>
          <w:bottom w:val="nil"/>
          <w:right w:val="nil"/>
          <w:between w:val="nil"/>
        </w:pBdr>
        <w:spacing w:after="0" w:line="276" w:lineRule="auto"/>
        <w:rPr>
          <w:rFonts w:ascii="Arial" w:eastAsia="Arial" w:hAnsi="Arial" w:cs="Arial"/>
          <w:b/>
          <w:bCs/>
          <w:color w:val="000000"/>
          <w:sz w:val="20"/>
          <w:szCs w:val="20"/>
        </w:rPr>
      </w:pPr>
      <w:r>
        <w:rPr>
          <w:rFonts w:ascii="Arial" w:eastAsia="Arial" w:hAnsi="Arial" w:cs="Arial"/>
          <w:b/>
          <w:bCs/>
          <w:color w:val="121512"/>
          <w:sz w:val="20"/>
          <w:szCs w:val="20"/>
        </w:rPr>
        <w:t xml:space="preserve">Israel Vasquez, </w:t>
      </w:r>
      <w:r>
        <w:rPr>
          <w:rFonts w:ascii="Arial" w:eastAsia="Arial" w:hAnsi="Arial" w:cs="Arial"/>
          <w:color w:val="121512"/>
          <w:sz w:val="20"/>
          <w:szCs w:val="20"/>
        </w:rPr>
        <w:t>Brand &amp; Content Manager,</w:t>
      </w:r>
      <w:r>
        <w:rPr>
          <w:rFonts w:ascii="Arial" w:eastAsia="Arial" w:hAnsi="Arial" w:cs="Arial"/>
          <w:b/>
          <w:bCs/>
          <w:color w:val="121512"/>
          <w:sz w:val="20"/>
          <w:szCs w:val="20"/>
        </w:rPr>
        <w:t xml:space="preserve"> Azar Latino</w:t>
      </w:r>
    </w:p>
    <w:p w14:paraId="00000021" w14:textId="77777777" w:rsidR="004D5D65" w:rsidRDefault="00000000">
      <w:pPr>
        <w:numPr>
          <w:ilvl w:val="0"/>
          <w:numId w:val="4"/>
        </w:numPr>
        <w:pBdr>
          <w:top w:val="nil"/>
          <w:left w:val="nil"/>
          <w:bottom w:val="nil"/>
          <w:right w:val="nil"/>
          <w:between w:val="nil"/>
        </w:pBdr>
        <w:spacing w:after="0" w:line="276" w:lineRule="auto"/>
        <w:rPr>
          <w:rFonts w:ascii="Arial" w:eastAsia="Arial" w:hAnsi="Arial" w:cs="Arial"/>
          <w:b/>
          <w:bCs/>
          <w:color w:val="000000"/>
          <w:sz w:val="20"/>
          <w:szCs w:val="20"/>
        </w:rPr>
      </w:pPr>
      <w:r>
        <w:rPr>
          <w:rFonts w:ascii="Arial" w:eastAsia="Arial" w:hAnsi="Arial" w:cs="Arial"/>
          <w:b/>
          <w:bCs/>
          <w:color w:val="000000"/>
          <w:sz w:val="20"/>
          <w:szCs w:val="20"/>
        </w:rPr>
        <w:t>Jonathan Felix</w:t>
      </w:r>
      <w:r>
        <w:rPr>
          <w:rFonts w:ascii="Arial" w:eastAsia="Arial" w:hAnsi="Arial" w:cs="Arial"/>
          <w:color w:val="000000"/>
          <w:sz w:val="20"/>
          <w:szCs w:val="20"/>
        </w:rPr>
        <w:t>, CEO,</w:t>
      </w:r>
      <w:r>
        <w:rPr>
          <w:rFonts w:ascii="Arial" w:eastAsia="Arial" w:hAnsi="Arial" w:cs="Arial"/>
          <w:b/>
          <w:bCs/>
          <w:color w:val="000000"/>
          <w:sz w:val="20"/>
          <w:szCs w:val="20"/>
        </w:rPr>
        <w:t xml:space="preserve"> GLOBAL BUSINESS COMPANY DE PERU S.A.C.</w:t>
      </w:r>
    </w:p>
    <w:p w14:paraId="00000022" w14:textId="77777777" w:rsidR="004D5D65" w:rsidRDefault="00000000">
      <w:pPr>
        <w:numPr>
          <w:ilvl w:val="0"/>
          <w:numId w:val="4"/>
        </w:numPr>
        <w:pBdr>
          <w:top w:val="nil"/>
          <w:left w:val="nil"/>
          <w:bottom w:val="nil"/>
          <w:right w:val="nil"/>
          <w:between w:val="nil"/>
        </w:pBdr>
        <w:spacing w:after="0" w:line="276" w:lineRule="auto"/>
        <w:rPr>
          <w:rFonts w:ascii="Arial" w:eastAsia="Arial" w:hAnsi="Arial" w:cs="Arial"/>
          <w:b/>
          <w:bCs/>
          <w:color w:val="000000"/>
          <w:sz w:val="20"/>
          <w:szCs w:val="20"/>
        </w:rPr>
      </w:pPr>
      <w:r>
        <w:rPr>
          <w:rFonts w:ascii="Arial" w:eastAsia="Arial" w:hAnsi="Arial" w:cs="Arial"/>
          <w:b/>
          <w:bCs/>
          <w:color w:val="121512"/>
          <w:sz w:val="20"/>
          <w:szCs w:val="20"/>
        </w:rPr>
        <w:t>Renzo Escalante</w:t>
      </w:r>
      <w:r>
        <w:rPr>
          <w:rFonts w:ascii="Arial" w:eastAsia="Arial" w:hAnsi="Arial" w:cs="Arial"/>
          <w:color w:val="121512"/>
          <w:sz w:val="20"/>
          <w:szCs w:val="20"/>
        </w:rPr>
        <w:t>, CEO,</w:t>
      </w:r>
      <w:r>
        <w:rPr>
          <w:rFonts w:ascii="Arial" w:eastAsia="Arial" w:hAnsi="Arial" w:cs="Arial"/>
          <w:b/>
          <w:bCs/>
          <w:color w:val="121512"/>
          <w:sz w:val="20"/>
          <w:szCs w:val="20"/>
        </w:rPr>
        <w:t xml:space="preserve"> Clases Play</w:t>
      </w:r>
    </w:p>
    <w:p w14:paraId="00000023" w14:textId="77777777" w:rsidR="004D5D65" w:rsidRDefault="00000000">
      <w:pPr>
        <w:numPr>
          <w:ilvl w:val="0"/>
          <w:numId w:val="4"/>
        </w:numPr>
        <w:pBdr>
          <w:top w:val="nil"/>
          <w:left w:val="nil"/>
          <w:bottom w:val="nil"/>
          <w:right w:val="nil"/>
          <w:between w:val="nil"/>
        </w:pBdr>
        <w:spacing w:after="0" w:line="276" w:lineRule="auto"/>
        <w:rPr>
          <w:rFonts w:ascii="Arial" w:eastAsia="Arial" w:hAnsi="Arial" w:cs="Arial"/>
          <w:b/>
          <w:bCs/>
          <w:color w:val="000000"/>
          <w:sz w:val="20"/>
          <w:szCs w:val="20"/>
        </w:rPr>
      </w:pPr>
      <w:r>
        <w:rPr>
          <w:rFonts w:ascii="Arial" w:eastAsia="Arial" w:hAnsi="Arial" w:cs="Arial"/>
          <w:b/>
          <w:bCs/>
          <w:color w:val="121512"/>
          <w:sz w:val="20"/>
          <w:szCs w:val="20"/>
        </w:rPr>
        <w:t>Sergio Poves Vidal</w:t>
      </w:r>
      <w:r>
        <w:rPr>
          <w:rFonts w:ascii="Arial" w:eastAsia="Arial" w:hAnsi="Arial" w:cs="Arial"/>
          <w:color w:val="121512"/>
          <w:sz w:val="20"/>
          <w:szCs w:val="20"/>
        </w:rPr>
        <w:t xml:space="preserve">, LatAm Gaming, Regulatory Affairs &amp; Compliance Advisor, </w:t>
      </w:r>
      <w:r>
        <w:rPr>
          <w:rFonts w:ascii="Arial" w:eastAsia="Arial" w:hAnsi="Arial" w:cs="Arial"/>
          <w:b/>
          <w:bCs/>
          <w:color w:val="121512"/>
          <w:sz w:val="20"/>
          <w:szCs w:val="20"/>
        </w:rPr>
        <w:t>Betsson Group</w:t>
      </w:r>
    </w:p>
    <w:p w14:paraId="00000024" w14:textId="77777777" w:rsidR="004D5D65" w:rsidRDefault="004D5D65">
      <w:pPr>
        <w:pBdr>
          <w:top w:val="nil"/>
          <w:left w:val="nil"/>
          <w:bottom w:val="nil"/>
          <w:right w:val="nil"/>
          <w:between w:val="nil"/>
        </w:pBdr>
        <w:spacing w:after="0" w:line="276" w:lineRule="auto"/>
        <w:ind w:left="1080"/>
        <w:rPr>
          <w:rFonts w:ascii="Arial" w:eastAsia="Arial" w:hAnsi="Arial" w:cs="Arial"/>
          <w:b/>
          <w:bCs/>
          <w:color w:val="121512"/>
          <w:sz w:val="20"/>
          <w:szCs w:val="20"/>
        </w:rPr>
      </w:pPr>
    </w:p>
    <w:p w14:paraId="00000025" w14:textId="77777777" w:rsidR="004D5D65" w:rsidRDefault="00000000">
      <w:pPr>
        <w:pBdr>
          <w:top w:val="nil"/>
          <w:left w:val="nil"/>
          <w:bottom w:val="nil"/>
          <w:right w:val="nil"/>
          <w:between w:val="nil"/>
        </w:pBdr>
        <w:spacing w:after="0" w:line="276" w:lineRule="auto"/>
        <w:ind w:left="1080"/>
        <w:rPr>
          <w:rFonts w:ascii="Arial" w:eastAsia="Arial" w:hAnsi="Arial" w:cs="Arial"/>
          <w:color w:val="000000"/>
          <w:sz w:val="20"/>
          <w:szCs w:val="20"/>
        </w:rPr>
      </w:pPr>
      <w:r>
        <w:rPr>
          <w:rFonts w:ascii="Arial" w:eastAsia="Arial" w:hAnsi="Arial" w:cs="Arial"/>
          <w:color w:val="121512"/>
          <w:sz w:val="20"/>
          <w:szCs w:val="20"/>
        </w:rPr>
        <w:t>AND MANY MORE!</w:t>
      </w:r>
    </w:p>
    <w:p w14:paraId="00000026" w14:textId="77777777" w:rsidR="004D5D65" w:rsidRDefault="004D5D65">
      <w:pPr>
        <w:rPr>
          <w:rFonts w:ascii="Arial" w:eastAsia="Arial" w:hAnsi="Arial" w:cs="Arial"/>
          <w:sz w:val="20"/>
          <w:szCs w:val="20"/>
        </w:rPr>
      </w:pPr>
    </w:p>
    <w:p w14:paraId="00000027" w14:textId="77777777" w:rsidR="004D5D65" w:rsidRDefault="00000000">
      <w:pPr>
        <w:rPr>
          <w:rFonts w:ascii="Arial" w:eastAsia="Arial" w:hAnsi="Arial" w:cs="Arial"/>
          <w:b/>
          <w:bCs/>
          <w:sz w:val="20"/>
          <w:szCs w:val="20"/>
        </w:rPr>
      </w:pPr>
      <w:r>
        <w:rPr>
          <w:rFonts w:ascii="Arial" w:eastAsia="Arial" w:hAnsi="Arial" w:cs="Arial"/>
          <w:b/>
          <w:bCs/>
          <w:sz w:val="20"/>
          <w:szCs w:val="20"/>
        </w:rPr>
        <w:t>Join Discussions on Latest Regulatory, Compliance &amp; Prediction Market Developments</w:t>
      </w:r>
    </w:p>
    <w:p w14:paraId="00000028" w14:textId="77777777" w:rsidR="004D5D65" w:rsidRDefault="00000000">
      <w:pPr>
        <w:rPr>
          <w:rFonts w:ascii="Arial" w:eastAsia="Arial" w:hAnsi="Arial" w:cs="Arial"/>
          <w:sz w:val="20"/>
          <w:szCs w:val="20"/>
        </w:rPr>
      </w:pPr>
      <w:r>
        <w:rPr>
          <w:rFonts w:ascii="Arial" w:eastAsia="Arial" w:hAnsi="Arial" w:cs="Arial"/>
          <w:sz w:val="20"/>
          <w:szCs w:val="20"/>
        </w:rPr>
        <w:t xml:space="preserve">The upcoming </w:t>
      </w:r>
      <w:r>
        <w:rPr>
          <w:rFonts w:ascii="Arial" w:eastAsia="Arial" w:hAnsi="Arial" w:cs="Arial"/>
          <w:b/>
          <w:bCs/>
          <w:sz w:val="20"/>
          <w:szCs w:val="20"/>
        </w:rPr>
        <w:t>LiGA Summit</w:t>
      </w:r>
      <w:r>
        <w:rPr>
          <w:rFonts w:ascii="Arial" w:eastAsia="Arial" w:hAnsi="Arial" w:cs="Arial"/>
          <w:sz w:val="20"/>
          <w:szCs w:val="20"/>
        </w:rPr>
        <w:t xml:space="preserve"> is the ideal opportunity to understand how regulation is being implemented across Latin America’s gaming markets, alongside dedicated insight into prediction markets – one of the most talked-about emerging opportunities in iGaming right now.</w:t>
      </w:r>
    </w:p>
    <w:p w14:paraId="00000029" w14:textId="77777777" w:rsidR="004D5D65" w:rsidRDefault="00000000">
      <w:pPr>
        <w:rPr>
          <w:rFonts w:ascii="Arial" w:eastAsia="Arial" w:hAnsi="Arial" w:cs="Arial"/>
          <w:sz w:val="20"/>
          <w:szCs w:val="20"/>
        </w:rPr>
      </w:pPr>
      <w:r>
        <w:rPr>
          <w:rFonts w:ascii="Arial" w:eastAsia="Arial" w:hAnsi="Arial" w:cs="Arial"/>
          <w:b/>
          <w:bCs/>
          <w:sz w:val="20"/>
          <w:szCs w:val="20"/>
        </w:rPr>
        <w:t>Register here</w:t>
      </w:r>
      <w:r>
        <w:rPr>
          <w:rFonts w:ascii="Arial" w:eastAsia="Arial" w:hAnsi="Arial" w:cs="Arial"/>
          <w:sz w:val="20"/>
          <w:szCs w:val="20"/>
        </w:rPr>
        <w:t xml:space="preserve">: </w:t>
      </w:r>
      <w:hyperlink r:id="rId6">
        <w:r>
          <w:rPr>
            <w:rFonts w:ascii="Arial" w:eastAsia="Arial" w:hAnsi="Arial" w:cs="Arial"/>
            <w:color w:val="467886"/>
            <w:sz w:val="20"/>
            <w:szCs w:val="20"/>
            <w:u w:val="single"/>
          </w:rPr>
          <w:t>https://www.eventus-international.com/liga</w:t>
        </w:r>
      </w:hyperlink>
      <w:r>
        <w:rPr>
          <w:rFonts w:ascii="Arial" w:eastAsia="Arial" w:hAnsi="Arial" w:cs="Arial"/>
          <w:sz w:val="20"/>
          <w:szCs w:val="20"/>
        </w:rPr>
        <w:t xml:space="preserve"> </w:t>
      </w:r>
    </w:p>
    <w:p w14:paraId="0000002A" w14:textId="77777777" w:rsidR="004D5D65" w:rsidRDefault="004D5D65">
      <w:pPr>
        <w:rPr>
          <w:rFonts w:ascii="Arial" w:eastAsia="Arial" w:hAnsi="Arial" w:cs="Arial"/>
          <w:b/>
          <w:bCs/>
          <w:sz w:val="20"/>
          <w:szCs w:val="20"/>
        </w:rPr>
      </w:pPr>
    </w:p>
    <w:p w14:paraId="0000002B" w14:textId="77777777" w:rsidR="004D5D65" w:rsidRDefault="00000000">
      <w:pPr>
        <w:rPr>
          <w:rFonts w:ascii="Arial" w:eastAsia="Arial" w:hAnsi="Arial" w:cs="Arial"/>
          <w:b/>
          <w:bCs/>
          <w:sz w:val="20"/>
          <w:szCs w:val="20"/>
        </w:rPr>
      </w:pPr>
      <w:r>
        <w:rPr>
          <w:rFonts w:ascii="Arial" w:eastAsia="Arial" w:hAnsi="Arial" w:cs="Arial"/>
          <w:b/>
          <w:bCs/>
          <w:sz w:val="20"/>
          <w:szCs w:val="20"/>
        </w:rPr>
        <w:t>Sponsorship Enquiries</w:t>
      </w:r>
    </w:p>
    <w:p w14:paraId="0000002C" w14:textId="77777777" w:rsidR="004D5D65" w:rsidRDefault="00000000">
      <w:pPr>
        <w:rPr>
          <w:rFonts w:ascii="Arial" w:eastAsia="Arial" w:hAnsi="Arial" w:cs="Arial"/>
          <w:sz w:val="20"/>
          <w:szCs w:val="20"/>
        </w:rPr>
      </w:pPr>
      <w:r>
        <w:rPr>
          <w:rFonts w:ascii="Arial" w:eastAsia="Arial" w:hAnsi="Arial" w:cs="Arial"/>
          <w:b/>
          <w:bCs/>
          <w:sz w:val="20"/>
          <w:szCs w:val="20"/>
        </w:rPr>
        <w:t>Lou-Mari Burnett</w:t>
      </w:r>
      <w:r>
        <w:rPr>
          <w:rFonts w:ascii="Arial" w:eastAsia="Arial" w:hAnsi="Arial" w:cs="Arial"/>
          <w:sz w:val="20"/>
          <w:szCs w:val="20"/>
        </w:rPr>
        <w:t xml:space="preserve">, Chief Operating Officer, </w:t>
      </w:r>
      <w:r>
        <w:rPr>
          <w:rFonts w:ascii="Arial" w:eastAsia="Arial" w:hAnsi="Arial" w:cs="Arial"/>
          <w:b/>
          <w:bCs/>
          <w:sz w:val="20"/>
          <w:szCs w:val="20"/>
        </w:rPr>
        <w:t>Eventus International</w:t>
      </w:r>
      <w:r>
        <w:rPr>
          <w:rFonts w:ascii="Arial" w:eastAsia="Arial" w:hAnsi="Arial" w:cs="Arial"/>
          <w:sz w:val="20"/>
          <w:szCs w:val="20"/>
        </w:rPr>
        <w:br/>
        <w:t>loumari@eventus-international.com</w:t>
      </w:r>
    </w:p>
    <w:p w14:paraId="0000002D" w14:textId="77777777" w:rsidR="004D5D65" w:rsidRDefault="004D5D65">
      <w:pPr>
        <w:rPr>
          <w:rFonts w:ascii="Arial" w:eastAsia="Arial" w:hAnsi="Arial" w:cs="Arial"/>
          <w:sz w:val="20"/>
          <w:szCs w:val="20"/>
        </w:rPr>
      </w:pPr>
    </w:p>
    <w:sectPr w:rsidR="004D5D6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D95AD5-06D7-4757-BA2F-8B5869DA48B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BD796758-4809-43FB-A3E7-E18D6A68B8CE}"/>
    <w:embedItalic r:id="rId3" w:fontKey="{FBD92869-8ECB-4945-B0CA-A1FBA09A940B}"/>
  </w:font>
  <w:font w:name="Play">
    <w:charset w:val="00"/>
    <w:family w:val="auto"/>
    <w:pitch w:val="default"/>
    <w:embedRegular r:id="rId4" w:fontKey="{8907D23F-59B0-4B4C-9C20-97EAB7073D2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CD0C199-414E-49FC-A0E2-2C890ACEEE53}"/>
  </w:font>
  <w:font w:name="Cambria">
    <w:panose1 w:val="02040503050406030204"/>
    <w:charset w:val="00"/>
    <w:family w:val="roman"/>
    <w:pitch w:val="variable"/>
    <w:sig w:usb0="E00006FF" w:usb1="420024FF" w:usb2="02000000" w:usb3="00000000" w:csb0="0000019F" w:csb1="00000000"/>
    <w:embedRegular r:id="rId6" w:fontKey="{D9EB613D-AACC-4194-9E3C-D0F71F46F5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768"/>
    <w:multiLevelType w:val="multilevel"/>
    <w:tmpl w:val="3BF0C9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2C80508"/>
    <w:multiLevelType w:val="multilevel"/>
    <w:tmpl w:val="4BBE1E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B215E81"/>
    <w:multiLevelType w:val="multilevel"/>
    <w:tmpl w:val="9404E1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302ADC"/>
    <w:multiLevelType w:val="multilevel"/>
    <w:tmpl w:val="CE96FA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0084812">
    <w:abstractNumId w:val="0"/>
  </w:num>
  <w:num w:numId="2" w16cid:durableId="402223158">
    <w:abstractNumId w:val="2"/>
  </w:num>
  <w:num w:numId="3" w16cid:durableId="1688361634">
    <w:abstractNumId w:val="3"/>
  </w:num>
  <w:num w:numId="4" w16cid:durableId="1372413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D65"/>
    <w:rsid w:val="004D5D65"/>
    <w:rsid w:val="00935F0D"/>
    <w:rsid w:val="00FF60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889380-4E88-430D-B0F8-52B11FDFB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ventus-international.com/liga"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CETpGB0bmgtgq3kRwxU169G3Q==">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Strydom</cp:lastModifiedBy>
  <cp:revision>2</cp:revision>
  <dcterms:created xsi:type="dcterms:W3CDTF">2026-07-03T12:58:00Z</dcterms:created>
  <dcterms:modified xsi:type="dcterms:W3CDTF">2026-07-03T12:58:00Z</dcterms:modified>
</cp:coreProperties>
</file>