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margin" w:tblpXSpec="center" w:tblpY="368"/>
        <w:tblW w:w="0" w:type="auto"/>
        <w:tblLook w:val="04A0"/>
      </w:tblPr>
      <w:tblGrid>
        <w:gridCol w:w="3049"/>
        <w:gridCol w:w="3048"/>
        <w:gridCol w:w="3049"/>
      </w:tblGrid>
      <w:tr w:rsidR="005C6481" w:rsidTr="005C6481">
        <w:tc>
          <w:tcPr>
            <w:tcW w:w="3049" w:type="dxa"/>
          </w:tcPr>
          <w:p w:rsidR="005C6481" w:rsidRPr="001A167E" w:rsidRDefault="005C6481" w:rsidP="005C6481">
            <w:pPr>
              <w:keepNext/>
              <w:ind w:left="425"/>
              <w:rPr>
                <w:rFonts w:ascii="Times New Roman" w:hAnsi="Times New Roman" w:cs="Times New Roman"/>
                <w:sz w:val="20"/>
                <w:szCs w:val="20"/>
              </w:rPr>
            </w:pPr>
            <w:r w:rsidRPr="001A167E">
              <w:rPr>
                <w:rFonts w:ascii="Times New Roman" w:hAnsi="Times New Roman" w:cs="Times New Roman"/>
                <w:sz w:val="20"/>
                <w:szCs w:val="20"/>
              </w:rPr>
              <w:t>Тарифная зона «ночь»</w:t>
            </w:r>
          </w:p>
          <w:p w:rsidR="005C6481" w:rsidRDefault="005C6481" w:rsidP="005C6481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8" w:type="dxa"/>
          </w:tcPr>
          <w:p w:rsidR="005C6481" w:rsidRPr="001A167E" w:rsidRDefault="005C6481" w:rsidP="005C6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167E">
              <w:rPr>
                <w:rFonts w:ascii="Times New Roman" w:hAnsi="Times New Roman" w:cs="Times New Roman"/>
                <w:sz w:val="20"/>
                <w:szCs w:val="20"/>
              </w:rPr>
              <w:t>Тарифная зона «</w:t>
            </w:r>
            <w:proofErr w:type="spellStart"/>
            <w:r w:rsidRPr="001A167E">
              <w:rPr>
                <w:rFonts w:ascii="Times New Roman" w:hAnsi="Times New Roman" w:cs="Times New Roman"/>
                <w:sz w:val="20"/>
                <w:szCs w:val="20"/>
              </w:rPr>
              <w:t>полупик</w:t>
            </w:r>
            <w:proofErr w:type="spellEnd"/>
            <w:r w:rsidRPr="001A167E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:rsidR="005C6481" w:rsidRDefault="005C6481" w:rsidP="005C6481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9" w:type="dxa"/>
          </w:tcPr>
          <w:p w:rsidR="005C6481" w:rsidRPr="001A167E" w:rsidRDefault="005C6481" w:rsidP="005C64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167E">
              <w:rPr>
                <w:rFonts w:ascii="Times New Roman" w:hAnsi="Times New Roman" w:cs="Times New Roman"/>
                <w:sz w:val="20"/>
                <w:szCs w:val="20"/>
              </w:rPr>
              <w:t>Тарифная зона «пик»</w:t>
            </w:r>
          </w:p>
          <w:p w:rsidR="005C6481" w:rsidRDefault="005C6481" w:rsidP="005C6481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6481" w:rsidTr="005C6481">
        <w:tc>
          <w:tcPr>
            <w:tcW w:w="3049" w:type="dxa"/>
          </w:tcPr>
          <w:p w:rsidR="005C6481" w:rsidRDefault="005C6481" w:rsidP="005C6481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07968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>
                  <wp:extent cx="1620000" cy="616846"/>
                  <wp:effectExtent l="19050" t="0" r="0" b="0"/>
                  <wp:docPr id="7" name="Рисунок 5" descr="C:\AA_Work\2017_ФХИ_Информатика\3_Рабочие материалы\1_Задачи по Информатике\Высоцкий\Счетчик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A_Work\2017_ФХИ_Информатика\3_Рабочие материалы\1_Задачи по Информатике\Высоцкий\Счетчик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61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</w:tcPr>
          <w:p w:rsidR="005C6481" w:rsidRDefault="005C6481" w:rsidP="005C6481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07968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>
                  <wp:extent cx="1620000" cy="613147"/>
                  <wp:effectExtent l="19050" t="0" r="0" b="0"/>
                  <wp:docPr id="8" name="Рисунок 6" descr="C:\AA_Work\2017_ФХИ_Информатика\3_Рабочие материалы\1_Задачи по Информатике\Высоцкий\Счетчик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A_Work\2017_ФХИ_Информатика\3_Рабочие материалы\1_Задачи по Информатике\Высоцкий\Счетчик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61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9" w:type="dxa"/>
          </w:tcPr>
          <w:p w:rsidR="005C6481" w:rsidRDefault="005C6481" w:rsidP="005C6481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07968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>
                  <wp:extent cx="1620000" cy="613147"/>
                  <wp:effectExtent l="19050" t="0" r="0" b="0"/>
                  <wp:docPr id="9" name="Рисунок 4" descr="C:\AA_Work\2017_ФХИ_Информатика\3_Рабочие материалы\1_Задачи по Информатике\Высоцкий\Счетчик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A_Work\2017_ФХИ_Информатика\3_Рабочие материалы\1_Задачи по Информатике\Высоцкий\Счетчик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613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968" w:rsidRPr="005C6481" w:rsidRDefault="002F1802" w:rsidP="005C6481">
      <w:r>
        <w:t>Рисунок 1. Текущие показания прибора учета электроэнергии.</w:t>
      </w:r>
    </w:p>
    <w:p w:rsidR="001A167E" w:rsidRDefault="001A167E" w:rsidP="001A167E"/>
    <w:tbl>
      <w:tblPr>
        <w:tblStyle w:val="a4"/>
        <w:tblW w:w="9853" w:type="dxa"/>
        <w:tblInd w:w="-459" w:type="dxa"/>
        <w:tblLook w:val="04A0"/>
      </w:tblPr>
      <w:tblGrid>
        <w:gridCol w:w="2895"/>
        <w:gridCol w:w="982"/>
        <w:gridCol w:w="1398"/>
        <w:gridCol w:w="1656"/>
        <w:gridCol w:w="1266"/>
        <w:gridCol w:w="1656"/>
      </w:tblGrid>
      <w:tr w:rsidR="001A167E" w:rsidRPr="00264056" w:rsidTr="006B7D54">
        <w:trPr>
          <w:trHeight w:val="135"/>
          <w:tblHeader/>
        </w:trPr>
        <w:tc>
          <w:tcPr>
            <w:tcW w:w="2895" w:type="dxa"/>
            <w:vMerge w:val="restart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Тарифная зона</w:t>
            </w:r>
          </w:p>
        </w:tc>
        <w:tc>
          <w:tcPr>
            <w:tcW w:w="2380" w:type="dxa"/>
            <w:gridSpan w:val="2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Показания счетчика (кВт*ч)</w:t>
            </w:r>
          </w:p>
        </w:tc>
        <w:tc>
          <w:tcPr>
            <w:tcW w:w="1656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Расход электроэнергии (кВт*ч)</w:t>
            </w:r>
          </w:p>
        </w:tc>
        <w:tc>
          <w:tcPr>
            <w:tcW w:w="1266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Тариф (руб. закВт*ч)</w:t>
            </w:r>
          </w:p>
        </w:tc>
        <w:tc>
          <w:tcPr>
            <w:tcW w:w="1656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Стоимость электроэнергии (руб.)</w:t>
            </w:r>
          </w:p>
        </w:tc>
      </w:tr>
      <w:tr w:rsidR="001A167E" w:rsidRPr="00264056" w:rsidTr="006B7D54">
        <w:trPr>
          <w:trHeight w:val="135"/>
          <w:tblHeader/>
        </w:trPr>
        <w:tc>
          <w:tcPr>
            <w:tcW w:w="2895" w:type="dxa"/>
            <w:vMerge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rPr>
                <w:rFonts w:ascii="Arial Narrow" w:hAnsi="Arial Narrow"/>
              </w:rPr>
            </w:pPr>
          </w:p>
        </w:tc>
        <w:tc>
          <w:tcPr>
            <w:tcW w:w="982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текущие</w:t>
            </w:r>
          </w:p>
        </w:tc>
        <w:tc>
          <w:tcPr>
            <w:tcW w:w="1398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jc w:val="center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предыдущие</w:t>
            </w:r>
          </w:p>
        </w:tc>
        <w:tc>
          <w:tcPr>
            <w:tcW w:w="1656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rPr>
                <w:rFonts w:ascii="Arial Narrow" w:hAnsi="Arial Narrow"/>
              </w:rPr>
            </w:pPr>
          </w:p>
        </w:tc>
        <w:tc>
          <w:tcPr>
            <w:tcW w:w="1266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rPr>
                <w:rFonts w:ascii="Arial Narrow" w:hAnsi="Arial Narrow"/>
              </w:rPr>
            </w:pPr>
          </w:p>
        </w:tc>
        <w:tc>
          <w:tcPr>
            <w:tcW w:w="1656" w:type="dxa"/>
            <w:shd w:val="clear" w:color="auto" w:fill="DEEAF6" w:themeFill="accent1" w:themeFillTint="33"/>
          </w:tcPr>
          <w:p w:rsidR="001A167E" w:rsidRPr="00264056" w:rsidRDefault="001A167E" w:rsidP="006B7D54">
            <w:pPr>
              <w:keepNext/>
              <w:rPr>
                <w:rFonts w:ascii="Arial Narrow" w:hAnsi="Arial Narrow"/>
              </w:rPr>
            </w:pPr>
          </w:p>
        </w:tc>
      </w:tr>
      <w:tr w:rsidR="001A167E" w:rsidRPr="00264056" w:rsidTr="006B7D54">
        <w:tc>
          <w:tcPr>
            <w:tcW w:w="2895" w:type="dxa"/>
          </w:tcPr>
          <w:p w:rsidR="005C6481" w:rsidRPr="005C6481" w:rsidRDefault="005C6481" w:rsidP="005C6481">
            <w:r w:rsidRPr="005C6481">
              <w:t>пиковая зона Т</w:t>
            </w:r>
            <w:proofErr w:type="gramStart"/>
            <w:r w:rsidRPr="005C6481">
              <w:t>1</w:t>
            </w:r>
            <w:proofErr w:type="gramEnd"/>
          </w:p>
          <w:p w:rsidR="005C6481" w:rsidRPr="00264056" w:rsidRDefault="005C6481" w:rsidP="005C6481">
            <w:pPr>
              <w:keepNext/>
              <w:rPr>
                <w:rFonts w:ascii="Arial Narrow" w:hAnsi="Arial Narrow"/>
              </w:rPr>
            </w:pPr>
            <w:r w:rsidRPr="005C6481">
              <w:t>(7.00-10.00; 17.00-21.00)</w:t>
            </w:r>
          </w:p>
        </w:tc>
        <w:tc>
          <w:tcPr>
            <w:tcW w:w="982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398" w:type="dxa"/>
            <w:vAlign w:val="center"/>
          </w:tcPr>
          <w:p w:rsidR="00BA73C2" w:rsidRDefault="00BA73C2" w:rsidP="00BA73C2">
            <w:pPr>
              <w:keepNext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6852,</w:t>
            </w:r>
            <w:r w:rsidRPr="00264056">
              <w:rPr>
                <w:rFonts w:ascii="Arial Narrow" w:hAnsi="Arial Narrow"/>
              </w:rPr>
              <w:t>96</w:t>
            </w:r>
          </w:p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656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266" w:type="dxa"/>
            <w:vAlign w:val="center"/>
          </w:tcPr>
          <w:p w:rsidR="00BA73C2" w:rsidRPr="00264056" w:rsidRDefault="00BA73C2" w:rsidP="006B7D54">
            <w:pPr>
              <w:keepNext/>
              <w:jc w:val="right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6,46</w:t>
            </w:r>
          </w:p>
        </w:tc>
        <w:tc>
          <w:tcPr>
            <w:tcW w:w="1656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</w:tr>
      <w:tr w:rsidR="001A167E" w:rsidRPr="00264056" w:rsidTr="006B7D54">
        <w:tc>
          <w:tcPr>
            <w:tcW w:w="2895" w:type="dxa"/>
          </w:tcPr>
          <w:p w:rsidR="001A167E" w:rsidRPr="00264056" w:rsidRDefault="001A167E" w:rsidP="006B7D54">
            <w:pPr>
              <w:keepNext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полупиковая зона Т3</w:t>
            </w:r>
          </w:p>
          <w:p w:rsidR="001A167E" w:rsidRPr="00264056" w:rsidRDefault="001A167E" w:rsidP="006B7D54">
            <w:pPr>
              <w:keepNext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(10.00-17.00; 21.00-23.00)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:rsidR="001A167E" w:rsidRPr="00264056" w:rsidRDefault="005C6481" w:rsidP="006B7D54">
            <w:pPr>
              <w:keepNext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5710,</w:t>
            </w:r>
            <w:r w:rsidR="001A167E" w:rsidRPr="00264056">
              <w:rPr>
                <w:rFonts w:ascii="Arial Narrow" w:hAnsi="Arial Narrow" w:cs="Calibri"/>
                <w:color w:val="000000"/>
              </w:rPr>
              <w:t>8</w:t>
            </w:r>
          </w:p>
        </w:tc>
        <w:tc>
          <w:tcPr>
            <w:tcW w:w="1656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5,38</w:t>
            </w:r>
          </w:p>
        </w:tc>
        <w:tc>
          <w:tcPr>
            <w:tcW w:w="1656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</w:tr>
      <w:tr w:rsidR="001A167E" w:rsidRPr="00264056" w:rsidTr="006B7D54">
        <w:tc>
          <w:tcPr>
            <w:tcW w:w="2895" w:type="dxa"/>
          </w:tcPr>
          <w:p w:rsidR="005C6481" w:rsidRPr="005C6481" w:rsidRDefault="005C6481" w:rsidP="005C6481">
            <w:r w:rsidRPr="005C6481">
              <w:t>ночная зона Т</w:t>
            </w:r>
            <w:proofErr w:type="gramStart"/>
            <w:r w:rsidRPr="005C6481">
              <w:t>2</w:t>
            </w:r>
            <w:proofErr w:type="gramEnd"/>
            <w:r w:rsidRPr="005C6481">
              <w:t xml:space="preserve"> (23.00-7.00)</w:t>
            </w:r>
            <w:r>
              <w:t xml:space="preserve"> </w:t>
            </w:r>
          </w:p>
          <w:p w:rsidR="001A167E" w:rsidRPr="00264056" w:rsidRDefault="001A167E" w:rsidP="005C6481"/>
        </w:tc>
        <w:tc>
          <w:tcPr>
            <w:tcW w:w="982" w:type="dxa"/>
            <w:tcBorders>
              <w:bottom w:val="single" w:sz="4" w:space="0" w:color="auto"/>
            </w:tcBorders>
            <w:vAlign w:val="center"/>
          </w:tcPr>
          <w:p w:rsidR="00BA73C2" w:rsidRPr="00264056" w:rsidRDefault="00BA73C2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:rsidR="00BA73C2" w:rsidRPr="00264056" w:rsidRDefault="00BA73C2" w:rsidP="006B7D54">
            <w:pPr>
              <w:keepNext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color w:val="000000"/>
              </w:rPr>
              <w:t>1713,</w:t>
            </w:r>
            <w:r w:rsidRPr="00264056">
              <w:rPr>
                <w:rFonts w:ascii="Arial Narrow" w:hAnsi="Arial Narrow" w:cs="Calibri"/>
                <w:color w:val="000000"/>
              </w:rPr>
              <w:t>24</w:t>
            </w:r>
          </w:p>
        </w:tc>
        <w:tc>
          <w:tcPr>
            <w:tcW w:w="1656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BA73C2" w:rsidRDefault="00BA73C2" w:rsidP="00BA73C2">
            <w:pPr>
              <w:keepNext/>
              <w:jc w:val="right"/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1,79</w:t>
            </w:r>
          </w:p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  <w:tc>
          <w:tcPr>
            <w:tcW w:w="1656" w:type="dxa"/>
            <w:vAlign w:val="center"/>
          </w:tcPr>
          <w:p w:rsidR="001A167E" w:rsidRPr="00264056" w:rsidRDefault="001A167E" w:rsidP="006B7D54">
            <w:pPr>
              <w:keepNext/>
              <w:jc w:val="right"/>
              <w:rPr>
                <w:rFonts w:ascii="Arial Narrow" w:hAnsi="Arial Narrow"/>
              </w:rPr>
            </w:pPr>
          </w:p>
        </w:tc>
      </w:tr>
      <w:tr w:rsidR="001A167E" w:rsidRPr="00264056" w:rsidTr="006B7D54">
        <w:tc>
          <w:tcPr>
            <w:tcW w:w="2895" w:type="dxa"/>
          </w:tcPr>
          <w:p w:rsidR="001A167E" w:rsidRPr="00264056" w:rsidRDefault="001A167E" w:rsidP="006B7D54">
            <w:pPr>
              <w:rPr>
                <w:rFonts w:ascii="Arial Narrow" w:hAnsi="Arial Narrow"/>
              </w:rPr>
            </w:pPr>
            <w:r w:rsidRPr="00264056">
              <w:rPr>
                <w:rFonts w:ascii="Arial Narrow" w:hAnsi="Arial Narrow"/>
              </w:rPr>
              <w:t>Итого</w:t>
            </w:r>
          </w:p>
        </w:tc>
        <w:tc>
          <w:tcPr>
            <w:tcW w:w="98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1A167E" w:rsidRPr="00264056" w:rsidRDefault="001A167E" w:rsidP="006B7D54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398" w:type="dxa"/>
            <w:tcBorders>
              <w:tl2br w:val="single" w:sz="4" w:space="0" w:color="auto"/>
              <w:tr2bl w:val="single" w:sz="4" w:space="0" w:color="auto"/>
            </w:tcBorders>
          </w:tcPr>
          <w:p w:rsidR="001A167E" w:rsidRPr="00264056" w:rsidRDefault="001A167E" w:rsidP="006B7D54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656" w:type="dxa"/>
          </w:tcPr>
          <w:p w:rsidR="001A167E" w:rsidRPr="00264056" w:rsidRDefault="001A167E" w:rsidP="006B7D54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</w:tcPr>
          <w:p w:rsidR="001A167E" w:rsidRPr="00264056" w:rsidRDefault="001A167E" w:rsidP="006B7D54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1656" w:type="dxa"/>
          </w:tcPr>
          <w:p w:rsidR="001A167E" w:rsidRPr="00264056" w:rsidRDefault="001A167E" w:rsidP="006B7D54">
            <w:pPr>
              <w:jc w:val="right"/>
              <w:rPr>
                <w:rFonts w:ascii="Arial Narrow" w:hAnsi="Arial Narrow"/>
              </w:rPr>
            </w:pPr>
          </w:p>
        </w:tc>
      </w:tr>
    </w:tbl>
    <w:p w:rsidR="005C6481" w:rsidRDefault="002F1802" w:rsidP="001A16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 2. Форма для расчета оплаты за потребленную электроэнергию.</w:t>
      </w:r>
    </w:p>
    <w:p w:rsidR="0053648F" w:rsidRPr="0053648F" w:rsidRDefault="0053648F" w:rsidP="001A16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48F" w:rsidRDefault="0053648F" w:rsidP="0053648F"/>
    <w:p w:rsidR="0053648F" w:rsidRPr="0053648F" w:rsidRDefault="0053648F" w:rsidP="0053648F">
      <w:bookmarkStart w:id="0" w:name="_GoBack"/>
      <w:bookmarkEnd w:id="0"/>
    </w:p>
    <w:sectPr w:rsidR="0053648F" w:rsidRPr="0053648F" w:rsidSect="00BF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E59C9"/>
    <w:multiLevelType w:val="hybridMultilevel"/>
    <w:tmpl w:val="6E24B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7581E"/>
    <w:multiLevelType w:val="hybridMultilevel"/>
    <w:tmpl w:val="0C20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532D"/>
    <w:rsid w:val="0013532D"/>
    <w:rsid w:val="001A167E"/>
    <w:rsid w:val="00207968"/>
    <w:rsid w:val="002F1802"/>
    <w:rsid w:val="0053648F"/>
    <w:rsid w:val="00573BD9"/>
    <w:rsid w:val="005C6481"/>
    <w:rsid w:val="009F3933"/>
    <w:rsid w:val="00AB2286"/>
    <w:rsid w:val="00BA73C2"/>
    <w:rsid w:val="00BF5A38"/>
    <w:rsid w:val="00CB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2D"/>
    <w:pPr>
      <w:ind w:left="720"/>
      <w:contextualSpacing/>
    </w:pPr>
  </w:style>
  <w:style w:type="table" w:styleId="a4">
    <w:name w:val="Table Grid"/>
    <w:basedOn w:val="a1"/>
    <w:uiPriority w:val="39"/>
    <w:rsid w:val="00536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F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Киселева Елена Юрьевна</dc:creator>
  <cp:lastModifiedBy>EJK</cp:lastModifiedBy>
  <cp:revision>6</cp:revision>
  <dcterms:created xsi:type="dcterms:W3CDTF">2018-06-23T11:58:00Z</dcterms:created>
  <dcterms:modified xsi:type="dcterms:W3CDTF">2018-06-23T12:11:00Z</dcterms:modified>
</cp:coreProperties>
</file>