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E766" w14:textId="77777777" w:rsidR="00AB6D68" w:rsidRDefault="00000000">
      <w:pPr>
        <w:spacing w:before="360" w:after="160" w:line="240" w:lineRule="auto"/>
        <w:jc w:val="center"/>
        <w:rPr>
          <w:lang w:eastAsia="zh-TW"/>
        </w:rPr>
      </w:pPr>
      <w:r>
        <w:rPr>
          <w:b/>
          <w:sz w:val="40"/>
          <w:lang w:eastAsia="zh-TW"/>
        </w:rPr>
        <w:t>2026 銘傳大學 AI 應用創意大賽：構想提案書</w:t>
      </w:r>
    </w:p>
    <w:p w14:paraId="41665B8F" w14:textId="11BDEA48" w:rsidR="00AB6D68" w:rsidRDefault="00000000">
      <w:pPr>
        <w:spacing w:after="0"/>
        <w:rPr>
          <w:lang w:eastAsia="zh-TW"/>
        </w:rPr>
      </w:pPr>
      <w:r>
        <w:rPr>
          <w:b/>
          <w:sz w:val="28"/>
          <w:lang w:eastAsia="zh-TW"/>
        </w:rPr>
        <w:t>1、  作品基本資料作品名稱：</w:t>
      </w:r>
      <w:proofErr w:type="spellStart"/>
      <w:r>
        <w:rPr>
          <w:b/>
          <w:sz w:val="28"/>
          <w:lang w:eastAsia="zh-TW"/>
        </w:rPr>
        <w:t>NutriGuard</w:t>
      </w:r>
      <w:proofErr w:type="spellEnd"/>
      <w:r w:rsidR="00D00BD1">
        <w:rPr>
          <w:lang w:eastAsia="zh-TW"/>
        </w:rPr>
        <w:t xml:space="preserve"> </w:t>
      </w:r>
    </w:p>
    <w:p w14:paraId="5AC40B6D" w14:textId="77777777" w:rsidR="00AB6D68" w:rsidRDefault="00000000">
      <w:pPr>
        <w:ind w:left="403"/>
        <w:rPr>
          <w:lang w:eastAsia="zh-TW"/>
        </w:rPr>
      </w:pPr>
      <w:r>
        <w:rPr>
          <w:lang w:eastAsia="zh-TW"/>
        </w:rPr>
        <w:t>(1)  參賽組別： ■ 資訊組 / □ 非資訊組 / □ 跨領域組</w:t>
      </w:r>
    </w:p>
    <w:p w14:paraId="2DF74464" w14:textId="77777777" w:rsidR="00AB6D68" w:rsidRDefault="00000000">
      <w:pPr>
        <w:spacing w:after="320"/>
        <w:ind w:left="403"/>
        <w:rPr>
          <w:lang w:eastAsia="zh-TW"/>
        </w:rPr>
      </w:pPr>
      <w:r>
        <w:rPr>
          <w:lang w:eastAsia="zh-TW"/>
        </w:rPr>
        <w:t>(2)  競賽主軸： □ AI 永續 / ■ AI 生活創新</w:t>
      </w:r>
    </w:p>
    <w:p w14:paraId="02078A79" w14:textId="77777777" w:rsidR="00AB6D68" w:rsidRDefault="00000000">
      <w:pPr>
        <w:spacing w:after="80"/>
        <w:rPr>
          <w:lang w:eastAsia="zh-TW"/>
        </w:rPr>
      </w:pPr>
      <w:r>
        <w:rPr>
          <w:b/>
          <w:sz w:val="28"/>
          <w:lang w:eastAsia="zh-TW"/>
        </w:rPr>
        <w:t>2、  應用介紹（創意核心與痛點解決）</w:t>
      </w:r>
    </w:p>
    <w:p w14:paraId="7657E4C6" w14:textId="77777777" w:rsidR="00AB6D68" w:rsidRDefault="00000000">
      <w:pPr>
        <w:spacing w:after="20"/>
        <w:ind w:left="403"/>
        <w:rPr>
          <w:lang w:eastAsia="zh-TW"/>
        </w:rPr>
      </w:pPr>
      <w:r>
        <w:rPr>
          <w:b/>
          <w:lang w:eastAsia="zh-TW"/>
        </w:rPr>
        <w:t>(1)  問題背景與痛點分析：</w:t>
      </w:r>
    </w:p>
    <w:p w14:paraId="24F06F34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外食、便利餐點與包裝食品已成為許多人的日常選擇，但熱量、鈉含量、糖分、過敏原與慢性病飲食禁忌往往分散在不同標示或資料來源中，導致飲食紀錄與風險判斷成本過高。</w:t>
      </w:r>
    </w:p>
    <w:p w14:paraId="36E6DE41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多數飲食紀錄 App 要求使用者手動搜尋食品名稱、估算份量與輸入營養數值，流程繁瑣且容易中斷，外食族在真實用餐場景中很難長期維持。</w:t>
      </w:r>
    </w:p>
    <w:p w14:paraId="51E93E93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慢性病風險族群與嚴重過敏者在外食時常面臨資訊不足，例如食品成分標示不清、菜單缺少營養資料，或沒有即時提醒高鈉、高糖、高脂、蛋白質與過敏原風險。</w:t>
      </w:r>
    </w:p>
    <w:p w14:paraId="7C127ADF" w14:textId="77777777" w:rsidR="00AB6D68" w:rsidRDefault="00000000">
      <w:pPr>
        <w:spacing w:after="100"/>
        <w:ind w:left="1051" w:hanging="259"/>
        <w:rPr>
          <w:lang w:eastAsia="zh-TW"/>
        </w:rPr>
      </w:pPr>
      <w:r>
        <w:rPr>
          <w:sz w:val="25"/>
          <w:lang w:eastAsia="zh-TW"/>
        </w:rPr>
        <w:t>●  目標對象為校園外食族、超商/便當/餐飲外帶使用者，以及需留意高鈉、高糖、高脂、蛋白質或過敏原風險的使用者。</w:t>
      </w:r>
    </w:p>
    <w:p w14:paraId="6C00A54F" w14:textId="77777777" w:rsidR="00AB6D68" w:rsidRDefault="00000000">
      <w:pPr>
        <w:spacing w:after="20"/>
        <w:ind w:left="403"/>
        <w:rPr>
          <w:lang w:eastAsia="zh-TW"/>
        </w:rPr>
      </w:pPr>
      <w:r>
        <w:rPr>
          <w:b/>
          <w:lang w:eastAsia="zh-TW"/>
        </w:rPr>
        <w:t>(2)  作品核心創意：</w:t>
      </w:r>
    </w:p>
    <w:p w14:paraId="6FD2C1E8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 xml:space="preserve">●  </w:t>
      </w:r>
      <w:proofErr w:type="spellStart"/>
      <w:r>
        <w:rPr>
          <w:sz w:val="25"/>
          <w:lang w:eastAsia="zh-TW"/>
        </w:rPr>
        <w:t>NutriGuard</w:t>
      </w:r>
      <w:proofErr w:type="spellEnd"/>
      <w:r>
        <w:rPr>
          <w:sz w:val="25"/>
          <w:lang w:eastAsia="zh-TW"/>
        </w:rPr>
        <w:t xml:space="preserve"> 將 AI 食物初判、可信營養資料換算、疾病/過敏原安全過濾與附近店家探索整合為同一</w:t>
      </w:r>
      <w:proofErr w:type="gramStart"/>
      <w:r>
        <w:rPr>
          <w:sz w:val="25"/>
          <w:lang w:eastAsia="zh-TW"/>
        </w:rPr>
        <w:t>個</w:t>
      </w:r>
      <w:proofErr w:type="gramEnd"/>
      <w:r>
        <w:rPr>
          <w:sz w:val="25"/>
          <w:lang w:eastAsia="zh-TW"/>
        </w:rPr>
        <w:t>日常健康飲食決策流程。</w:t>
      </w:r>
    </w:p>
    <w:p w14:paraId="0365C504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與一般手動飲食紀錄 App 不同，本作品以 Gemini Vision 進行食物語意初判，再由 TFDA/自訂食品資料庫換算營養，低信心或缺資料時要求使用者以 OCR 或手動搜尋確認。</w:t>
      </w:r>
    </w:p>
    <w:p w14:paraId="7243D4EF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lastRenderedPageBreak/>
        <w:t>●  推薦邏輯</w:t>
      </w:r>
      <w:proofErr w:type="gramStart"/>
      <w:r>
        <w:rPr>
          <w:sz w:val="25"/>
          <w:lang w:eastAsia="zh-TW"/>
        </w:rPr>
        <w:t>採</w:t>
      </w:r>
      <w:proofErr w:type="gramEnd"/>
      <w:r>
        <w:rPr>
          <w:sz w:val="25"/>
          <w:lang w:eastAsia="zh-TW"/>
        </w:rPr>
        <w:t>雙軌設計：</w:t>
      </w:r>
      <w:proofErr w:type="gramStart"/>
      <w:r>
        <w:rPr>
          <w:sz w:val="25"/>
          <w:lang w:eastAsia="zh-TW"/>
        </w:rPr>
        <w:t>第一軌先依</w:t>
      </w:r>
      <w:proofErr w:type="gramEnd"/>
      <w:r>
        <w:rPr>
          <w:sz w:val="25"/>
          <w:lang w:eastAsia="zh-TW"/>
        </w:rPr>
        <w:t>疾病規則與過敏原設定處理安全風險，</w:t>
      </w:r>
      <w:proofErr w:type="gramStart"/>
      <w:r>
        <w:rPr>
          <w:sz w:val="25"/>
          <w:lang w:eastAsia="zh-TW"/>
        </w:rPr>
        <w:t>第二軌再依</w:t>
      </w:r>
      <w:proofErr w:type="gramEnd"/>
      <w:r>
        <w:rPr>
          <w:sz w:val="25"/>
          <w:lang w:eastAsia="zh-TW"/>
        </w:rPr>
        <w:t>剩餘熱量、營養匹配、近期飲食紀錄與使用者回饋進行排序。</w:t>
      </w:r>
    </w:p>
    <w:p w14:paraId="2F4CD4A7" w14:textId="77777777" w:rsidR="00AB6D68" w:rsidRDefault="00000000">
      <w:pPr>
        <w:spacing w:after="100"/>
        <w:ind w:left="1051" w:hanging="259"/>
        <w:rPr>
          <w:lang w:eastAsia="zh-TW"/>
        </w:rPr>
      </w:pPr>
      <w:r>
        <w:rPr>
          <w:sz w:val="25"/>
          <w:lang w:eastAsia="zh-TW"/>
        </w:rPr>
        <w:t>●  附近店家探索不是直接宣稱餐點健康，而是先協助使用者找到真實可前往店家，再提醒使用者依店家標示、掃描或手動搜尋確認實際餐點營養與過敏原資訊。</w:t>
      </w:r>
    </w:p>
    <w:p w14:paraId="3186E003" w14:textId="77777777" w:rsidR="00AB6D68" w:rsidRDefault="00000000">
      <w:pPr>
        <w:spacing w:after="20"/>
        <w:ind w:left="403"/>
        <w:rPr>
          <w:lang w:eastAsia="zh-TW"/>
        </w:rPr>
      </w:pPr>
      <w:r>
        <w:rPr>
          <w:b/>
          <w:lang w:eastAsia="zh-TW"/>
        </w:rPr>
        <w:t>(3)  跨學院/跨領域合作成效說明（加分項目）：</w:t>
      </w:r>
    </w:p>
    <w:p w14:paraId="1E4CA8A9" w14:textId="77777777" w:rsidR="00AB6D68" w:rsidRDefault="00000000">
      <w:pPr>
        <w:spacing w:after="280"/>
        <w:ind w:left="1051" w:hanging="259"/>
        <w:rPr>
          <w:lang w:eastAsia="zh-TW"/>
        </w:rPr>
      </w:pPr>
      <w:r>
        <w:rPr>
          <w:sz w:val="25"/>
          <w:lang w:eastAsia="zh-TW"/>
        </w:rPr>
        <w:t>●  無。</w:t>
      </w:r>
    </w:p>
    <w:p w14:paraId="7DEF1F80" w14:textId="77777777" w:rsidR="00AB6D68" w:rsidRDefault="00000000">
      <w:pPr>
        <w:spacing w:after="80"/>
        <w:rPr>
          <w:lang w:eastAsia="zh-TW"/>
        </w:rPr>
      </w:pPr>
      <w:r>
        <w:rPr>
          <w:b/>
          <w:sz w:val="28"/>
          <w:lang w:eastAsia="zh-TW"/>
        </w:rPr>
        <w:t>3、  操作方式（運作邏輯與技術實作）</w:t>
      </w:r>
    </w:p>
    <w:p w14:paraId="599875F9" w14:textId="77777777" w:rsidR="00AB6D68" w:rsidRDefault="00000000">
      <w:pPr>
        <w:spacing w:after="20"/>
        <w:ind w:left="403"/>
        <w:rPr>
          <w:lang w:eastAsia="zh-TW"/>
        </w:rPr>
      </w:pPr>
      <w:r>
        <w:rPr>
          <w:b/>
          <w:lang w:eastAsia="zh-TW"/>
        </w:rPr>
        <w:t>(1)  系統運作邏輯：</w:t>
      </w:r>
    </w:p>
    <w:p w14:paraId="48F2B0B1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使用者拍照、營養標示 OCR 或手動搜尋建立輸入；系統以 Gemini Vision 初判食物名稱與份量，再由資料庫換算營養，接著依疾病規則、過敏原與今日剩餘熱量產生風險提醒與候選推薦。</w:t>
      </w:r>
    </w:p>
    <w:p w14:paraId="21714AF9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日常紀錄流程為：影像/文字輸入 → 食物候選名稱與份量描述 → TFDA 或自訂食品資料庫比對 → 熱量、三大營養素、鈉、纖維等數值換算 → 疾病與過敏原規則檢查 → 使用者確認後寫入飲食紀錄。</w:t>
      </w:r>
    </w:p>
    <w:p w14:paraId="1255EFAD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推薦流程為：先排除或提示高風險項目，再依今日剩餘熱量、營養匹配、近期飲食偏好與推薦回饋計算候選項目的排序分數，並提供可解釋的推薦理由。</w:t>
      </w:r>
    </w:p>
    <w:p w14:paraId="05D882B0" w14:textId="77777777" w:rsidR="00AB6D68" w:rsidRDefault="00000000">
      <w:pPr>
        <w:spacing w:after="100"/>
        <w:ind w:left="1051" w:hanging="259"/>
        <w:rPr>
          <w:lang w:eastAsia="zh-TW"/>
        </w:rPr>
      </w:pPr>
      <w:r>
        <w:rPr>
          <w:sz w:val="25"/>
          <w:lang w:eastAsia="zh-TW"/>
        </w:rPr>
        <w:t>●  附近店家探索由 Google Places 提供真實位置、評分、營業狀態與距離；店家菜單、營養與過敏原資料仍需由使用者依現場標示、掃描或手動搜尋確認。</w:t>
      </w:r>
    </w:p>
    <w:p w14:paraId="5E1A4E50" w14:textId="77777777" w:rsidR="00AB6D68" w:rsidRDefault="00000000">
      <w:pPr>
        <w:spacing w:after="20"/>
        <w:ind w:left="403"/>
        <w:rPr>
          <w:lang w:eastAsia="zh-TW"/>
        </w:rPr>
      </w:pPr>
      <w:r>
        <w:rPr>
          <w:b/>
          <w:lang w:eastAsia="zh-TW"/>
        </w:rPr>
        <w:t>(2)  AI 技術實作流程：</w:t>
      </w:r>
    </w:p>
    <w:p w14:paraId="323B2BA1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食物辨識</w:t>
      </w:r>
      <w:proofErr w:type="gramStart"/>
      <w:r>
        <w:rPr>
          <w:sz w:val="25"/>
          <w:lang w:eastAsia="zh-TW"/>
        </w:rPr>
        <w:t>採</w:t>
      </w:r>
      <w:proofErr w:type="gramEnd"/>
      <w:r>
        <w:rPr>
          <w:sz w:val="25"/>
          <w:lang w:eastAsia="zh-TW"/>
        </w:rPr>
        <w:t xml:space="preserve"> Gemini Vision 產生候選食物名稱、份量描述、同義候選與信心程度；營養數值優先由 TFDA 台灣食品營養資料庫與自訂食品資料換算。</w:t>
      </w:r>
    </w:p>
    <w:p w14:paraId="23058DCA" w14:textId="77777777" w:rsidR="00AB6D68" w:rsidRDefault="00000000">
      <w:pPr>
        <w:spacing w:after="20"/>
        <w:ind w:left="1051" w:hanging="259"/>
      </w:pPr>
      <w:proofErr w:type="gramStart"/>
      <w:r>
        <w:rPr>
          <w:sz w:val="25"/>
        </w:rPr>
        <w:lastRenderedPageBreak/>
        <w:t xml:space="preserve">●  </w:t>
      </w:r>
      <w:proofErr w:type="spellStart"/>
      <w:r>
        <w:rPr>
          <w:sz w:val="25"/>
        </w:rPr>
        <w:t>前端以</w:t>
      </w:r>
      <w:proofErr w:type="spellEnd"/>
      <w:proofErr w:type="gramEnd"/>
      <w:r>
        <w:rPr>
          <w:sz w:val="25"/>
        </w:rPr>
        <w:t xml:space="preserve"> Expo React Native 建立 Web/iOS/Android 可延伸介面，後端以 Flask API 提供掃描、紀錄、推薦與地圖相關服務，資料以 Supabase Postgres/Auth 管理。</w:t>
      </w:r>
    </w:p>
    <w:p w14:paraId="271D511B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Safety Guard 會讀取疾病規則與過敏原設定，針對高血壓、糖尿病、高血脂、痛風、慢性腎臟病等情境提供高鈉、高糖、高脂、蛋白質或過敏風險提示。</w:t>
      </w:r>
    </w:p>
    <w:p w14:paraId="2ABD40AB" w14:textId="77777777" w:rsidR="00AB6D68" w:rsidRDefault="00000000">
      <w:pPr>
        <w:spacing w:after="280"/>
        <w:ind w:left="1051" w:hanging="259"/>
        <w:rPr>
          <w:lang w:eastAsia="zh-TW"/>
        </w:rPr>
      </w:pPr>
      <w:r>
        <w:rPr>
          <w:sz w:val="25"/>
          <w:lang w:eastAsia="zh-TW"/>
        </w:rPr>
        <w:t>●  推薦邏輯</w:t>
      </w:r>
      <w:proofErr w:type="gramStart"/>
      <w:r>
        <w:rPr>
          <w:sz w:val="25"/>
          <w:lang w:eastAsia="zh-TW"/>
        </w:rPr>
        <w:t>採</w:t>
      </w:r>
      <w:proofErr w:type="gramEnd"/>
      <w:r>
        <w:rPr>
          <w:sz w:val="25"/>
          <w:lang w:eastAsia="zh-TW"/>
        </w:rPr>
        <w:t>可解釋的規則型雙軌設計：Safety Guard 先處理疾病與過敏原風險，再依剩餘熱量、營養匹配、近期飲食偏好與推薦回饋排序。此作法適合 MVP 展示，且能降低直接依賴生成式 AI 輸出精</w:t>
      </w:r>
      <w:proofErr w:type="gramStart"/>
      <w:r>
        <w:rPr>
          <w:sz w:val="25"/>
          <w:lang w:eastAsia="zh-TW"/>
        </w:rPr>
        <w:t>準</w:t>
      </w:r>
      <w:proofErr w:type="gramEnd"/>
      <w:r>
        <w:rPr>
          <w:sz w:val="25"/>
          <w:lang w:eastAsia="zh-TW"/>
        </w:rPr>
        <w:t>營養數字的風險。</w:t>
      </w:r>
    </w:p>
    <w:p w14:paraId="39669B04" w14:textId="77777777" w:rsidR="00AB6D68" w:rsidRDefault="00000000">
      <w:pPr>
        <w:spacing w:after="80"/>
        <w:rPr>
          <w:lang w:eastAsia="zh-TW"/>
        </w:rPr>
      </w:pPr>
      <w:r>
        <w:rPr>
          <w:b/>
          <w:sz w:val="28"/>
          <w:lang w:eastAsia="zh-TW"/>
        </w:rPr>
        <w:t>4、  預期效果（社會影響力、永續價值與成效）</w:t>
      </w:r>
    </w:p>
    <w:p w14:paraId="3055B974" w14:textId="77777777" w:rsidR="00AB6D68" w:rsidRDefault="00000000">
      <w:pPr>
        <w:spacing w:after="20"/>
        <w:ind w:left="403"/>
        <w:rPr>
          <w:lang w:eastAsia="zh-TW"/>
        </w:rPr>
      </w:pPr>
      <w:r>
        <w:rPr>
          <w:b/>
          <w:lang w:eastAsia="zh-TW"/>
        </w:rPr>
        <w:t>(1)  社會影響力：</w:t>
      </w:r>
    </w:p>
    <w:p w14:paraId="63B8582D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 xml:space="preserve">●  </w:t>
      </w:r>
      <w:proofErr w:type="spellStart"/>
      <w:r>
        <w:rPr>
          <w:sz w:val="25"/>
          <w:lang w:eastAsia="zh-TW"/>
        </w:rPr>
        <w:t>NutriGuard</w:t>
      </w:r>
      <w:proofErr w:type="spellEnd"/>
      <w:r>
        <w:rPr>
          <w:sz w:val="25"/>
          <w:lang w:eastAsia="zh-TW"/>
        </w:rPr>
        <w:t xml:space="preserve"> 讓外食族與慢性病風險族群更容易看見食品營養、疾病禁忌與過敏原風險，降低日常外食場景中的資訊落差。</w:t>
      </w:r>
    </w:p>
    <w:p w14:paraId="321BA9AA" w14:textId="77777777" w:rsidR="00AB6D68" w:rsidRDefault="00000000">
      <w:pPr>
        <w:spacing w:after="80"/>
        <w:ind w:left="1051" w:hanging="259"/>
        <w:rPr>
          <w:lang w:eastAsia="zh-TW"/>
        </w:rPr>
      </w:pPr>
      <w:r>
        <w:rPr>
          <w:sz w:val="25"/>
          <w:lang w:eastAsia="zh-TW"/>
        </w:rPr>
        <w:t>●  本作品定位為健康管理輔助工具，不提供醫療診斷、治療建議、疾病控制保證或緊急過敏防護；所有 AI 辨識、店家摘要與推薦結果皆需由使用者依實際標示、店家資訊與專業建議確認。</w:t>
      </w:r>
    </w:p>
    <w:p w14:paraId="6A48A723" w14:textId="77777777" w:rsidR="00AB6D68" w:rsidRDefault="00000000">
      <w:pPr>
        <w:spacing w:after="20"/>
        <w:ind w:left="403"/>
        <w:rPr>
          <w:lang w:eastAsia="zh-TW"/>
        </w:rPr>
      </w:pPr>
      <w:r>
        <w:rPr>
          <w:b/>
          <w:lang w:eastAsia="zh-TW"/>
        </w:rPr>
        <w:t>(2)  永續價值（SDGs）：</w:t>
      </w:r>
    </w:p>
    <w:p w14:paraId="0040D564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對應 SDG 3 良好健康與福祉，透過日常飲食風險提醒協助預防性健康管理，讓慢性病風險族群更容易在日常飲食中察覺高風險選擇。</w:t>
      </w:r>
    </w:p>
    <w:p w14:paraId="5247117A" w14:textId="77777777" w:rsidR="00AB6D68" w:rsidRDefault="00000000">
      <w:pPr>
        <w:spacing w:after="80"/>
        <w:ind w:left="1051" w:hanging="259"/>
        <w:rPr>
          <w:lang w:eastAsia="zh-TW"/>
        </w:rPr>
      </w:pPr>
      <w:r>
        <w:rPr>
          <w:sz w:val="25"/>
          <w:lang w:eastAsia="zh-TW"/>
        </w:rPr>
        <w:t>●  對應 SDG 12 責任消費與生產，協助使用者理解包裝食品與外食營養資訊，讓消費選擇更透明、可追蹤。</w:t>
      </w:r>
    </w:p>
    <w:p w14:paraId="0B765F59" w14:textId="77777777" w:rsidR="00AB6D68" w:rsidRDefault="00000000">
      <w:pPr>
        <w:spacing w:after="20"/>
        <w:ind w:left="403"/>
        <w:rPr>
          <w:lang w:eastAsia="zh-TW"/>
        </w:rPr>
      </w:pPr>
      <w:r>
        <w:rPr>
          <w:b/>
          <w:lang w:eastAsia="zh-TW"/>
        </w:rPr>
        <w:t>(3)  實踐成效預測：</w:t>
      </w:r>
    </w:p>
    <w:p w14:paraId="57349C04" w14:textId="77777777" w:rsidR="00AB6D68" w:rsidRDefault="00000000">
      <w:pPr>
        <w:spacing w:after="20"/>
        <w:ind w:left="1051" w:hanging="259"/>
        <w:rPr>
          <w:lang w:eastAsia="zh-TW"/>
        </w:rPr>
      </w:pPr>
      <w:r>
        <w:rPr>
          <w:sz w:val="25"/>
          <w:lang w:eastAsia="zh-TW"/>
        </w:rPr>
        <w:t>●  MVP 階段預計以校園外食使用者測試單筆飲食紀錄時間、AI 初判後需手動修正比例、疾病/過敏提醒理解度與推薦採納回饋，作為後續資料庫與推薦邏輯改善依據。</w:t>
      </w:r>
    </w:p>
    <w:p w14:paraId="1852389F" w14:textId="77777777" w:rsidR="00AB6D68" w:rsidRDefault="00000000">
      <w:pPr>
        <w:spacing w:after="280"/>
        <w:ind w:left="1051" w:hanging="259"/>
        <w:rPr>
          <w:lang w:eastAsia="zh-TW"/>
        </w:rPr>
      </w:pPr>
      <w:r>
        <w:rPr>
          <w:sz w:val="25"/>
          <w:lang w:eastAsia="zh-TW"/>
        </w:rPr>
        <w:lastRenderedPageBreak/>
        <w:t>●  預期觀察指標包含：相較純手動輸入是否減少查表與重複輸入步驟、風險提示是否能被使用者理解、以及推薦排序是否能依採納/略過/不喜歡回饋逐步改善。</w:t>
      </w:r>
    </w:p>
    <w:p w14:paraId="2552E635" w14:textId="77777777" w:rsidR="00AB6D68" w:rsidRDefault="00000000">
      <w:pPr>
        <w:spacing w:after="20"/>
        <w:rPr>
          <w:lang w:eastAsia="zh-TW"/>
        </w:rPr>
      </w:pPr>
      <w:r>
        <w:rPr>
          <w:b/>
          <w:sz w:val="28"/>
          <w:lang w:eastAsia="zh-TW"/>
        </w:rPr>
        <w:t>5、  生成式 AI 工具使用清單</w:t>
      </w:r>
    </w:p>
    <w:p w14:paraId="78564CCD" w14:textId="77777777" w:rsidR="00AB6D68" w:rsidRDefault="00000000">
      <w:pPr>
        <w:spacing w:after="60"/>
        <w:ind w:left="403"/>
        <w:rPr>
          <w:lang w:eastAsia="zh-TW"/>
        </w:rPr>
      </w:pPr>
      <w:r>
        <w:rPr>
          <w:sz w:val="25"/>
          <w:lang w:eastAsia="zh-TW"/>
        </w:rPr>
        <w:t>請詳列製作過程中使用的所有生成式 AI 工具。</w:t>
      </w:r>
    </w:p>
    <w:tbl>
      <w:tblPr>
        <w:tblW w:w="9360" w:type="dxa"/>
        <w:tblInd w:w="720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ook w:val="04A0" w:firstRow="1" w:lastRow="0" w:firstColumn="1" w:lastColumn="0" w:noHBand="0" w:noVBand="1"/>
      </w:tblPr>
      <w:tblGrid>
        <w:gridCol w:w="2300"/>
        <w:gridCol w:w="3300"/>
        <w:gridCol w:w="3760"/>
      </w:tblGrid>
      <w:tr w:rsidR="00AB6D68" w14:paraId="292E8E8F" w14:textId="77777777"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CD549A" w14:textId="77777777" w:rsidR="00AB6D68" w:rsidRDefault="00000000">
            <w:pPr>
              <w:spacing w:after="0" w:line="252" w:lineRule="auto"/>
            </w:pPr>
            <w:proofErr w:type="spellStart"/>
            <w:r>
              <w:rPr>
                <w:b/>
              </w:rPr>
              <w:t>工具類別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3362CC" w14:textId="77777777" w:rsidR="00AB6D68" w:rsidRDefault="00000000">
            <w:pPr>
              <w:spacing w:after="0" w:line="252" w:lineRule="auto"/>
            </w:pPr>
            <w:r>
              <w:rPr>
                <w:b/>
              </w:rPr>
              <w:t>工具名稱</w:t>
            </w:r>
          </w:p>
        </w:tc>
        <w:tc>
          <w:tcPr>
            <w:tcW w:w="3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2178F" w14:textId="77777777" w:rsidR="00AB6D68" w:rsidRDefault="00000000">
            <w:pPr>
              <w:spacing w:after="0" w:line="252" w:lineRule="auto"/>
            </w:pPr>
            <w:r>
              <w:rPr>
                <w:b/>
              </w:rPr>
              <w:t>用途說明</w:t>
            </w:r>
          </w:p>
        </w:tc>
      </w:tr>
      <w:tr w:rsidR="00AB6D68" w14:paraId="338635DB" w14:textId="77777777"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1FD3F8" w14:textId="77777777" w:rsidR="00AB6D68" w:rsidRDefault="00000000">
            <w:pPr>
              <w:spacing w:after="0" w:line="252" w:lineRule="auto"/>
            </w:pPr>
            <w:r>
              <w:t>文字生成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3D0FF" w14:textId="77777777" w:rsidR="00AB6D68" w:rsidRDefault="00000000">
            <w:pPr>
              <w:spacing w:after="0" w:line="252" w:lineRule="auto"/>
            </w:pPr>
            <w:r>
              <w:t>OpenCode / Codex</w:t>
            </w:r>
          </w:p>
        </w:tc>
        <w:tc>
          <w:tcPr>
            <w:tcW w:w="3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5A2E0" w14:textId="77777777" w:rsidR="00AB6D68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lang w:eastAsia="zh-TW"/>
              </w:rPr>
              <w:t>協助提案文字整理、格式檢查與潤飾；最終內容由團隊確認。</w:t>
            </w:r>
          </w:p>
        </w:tc>
      </w:tr>
      <w:tr w:rsidR="00AB6D68" w14:paraId="525F7AF5" w14:textId="77777777"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CCDB2A" w14:textId="77777777" w:rsidR="00AB6D68" w:rsidRDefault="00000000">
            <w:pPr>
              <w:spacing w:after="0" w:line="252" w:lineRule="auto"/>
            </w:pPr>
            <w:proofErr w:type="spellStart"/>
            <w:r>
              <w:t>圖像</w:t>
            </w:r>
            <w:proofErr w:type="spellEnd"/>
            <w:r>
              <w:t>/</w:t>
            </w:r>
            <w:proofErr w:type="spellStart"/>
            <w:r>
              <w:t>影音生成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0B478" w14:textId="77777777" w:rsidR="00AB6D68" w:rsidRDefault="00000000">
            <w:pPr>
              <w:spacing w:after="0" w:line="252" w:lineRule="auto"/>
            </w:pPr>
            <w:r>
              <w:t>未使用</w:t>
            </w:r>
          </w:p>
        </w:tc>
        <w:tc>
          <w:tcPr>
            <w:tcW w:w="3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8541C" w14:textId="77777777" w:rsidR="00AB6D68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lang w:eastAsia="zh-TW"/>
              </w:rPr>
              <w:t>本提案書未使用生成式 AI 製作圖像或影音素材。</w:t>
            </w:r>
          </w:p>
        </w:tc>
      </w:tr>
      <w:tr w:rsidR="00AB6D68" w14:paraId="569DAF75" w14:textId="77777777"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CD91A" w14:textId="77777777" w:rsidR="00AB6D68" w:rsidRDefault="00000000">
            <w:pPr>
              <w:spacing w:after="0" w:line="252" w:lineRule="auto"/>
            </w:pPr>
            <w:proofErr w:type="spellStart"/>
            <w:r>
              <w:t>程式碼輔助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219AF5" w14:textId="77777777" w:rsidR="00AB6D68" w:rsidRDefault="00000000">
            <w:pPr>
              <w:spacing w:after="0" w:line="252" w:lineRule="auto"/>
            </w:pPr>
            <w:r>
              <w:t>Codex</w:t>
            </w:r>
          </w:p>
        </w:tc>
        <w:tc>
          <w:tcPr>
            <w:tcW w:w="3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425AAE" w14:textId="77777777" w:rsidR="00AB6D68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lang w:eastAsia="zh-TW"/>
              </w:rPr>
              <w:t>協助 Expo 前端、Flask API、推薦邏輯、測試與文件整理等程式開發輔助。</w:t>
            </w:r>
          </w:p>
        </w:tc>
      </w:tr>
      <w:tr w:rsidR="00AB6D68" w14:paraId="0DB9A133" w14:textId="77777777"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610B12" w14:textId="77777777" w:rsidR="00AB6D68" w:rsidRDefault="00000000">
            <w:pPr>
              <w:spacing w:after="0" w:line="252" w:lineRule="auto"/>
            </w:pPr>
            <w:proofErr w:type="spellStart"/>
            <w:r>
              <w:t>其他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F29D22" w14:textId="77777777" w:rsidR="00AB6D68" w:rsidRDefault="00000000">
            <w:pPr>
              <w:spacing w:after="0" w:line="252" w:lineRule="auto"/>
            </w:pPr>
            <w:r>
              <w:t>Gemini Vision</w:t>
            </w:r>
          </w:p>
        </w:tc>
        <w:tc>
          <w:tcPr>
            <w:tcW w:w="3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31B43" w14:textId="77777777" w:rsidR="00AB6D68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lang w:eastAsia="zh-TW"/>
              </w:rPr>
              <w:t>作為作品功能的一部分，用於食物影像初判、候選食物名稱與份量描述；營養數值仍以資料庫查詢為主。</w:t>
            </w:r>
          </w:p>
        </w:tc>
      </w:tr>
    </w:tbl>
    <w:p w14:paraId="2569DC6C" w14:textId="5020A699" w:rsidR="00AB6D68" w:rsidRDefault="00000000">
      <w:pPr>
        <w:spacing w:before="40" w:after="360"/>
        <w:ind w:left="403"/>
        <w:rPr>
          <w:lang w:eastAsia="zh-TW"/>
        </w:rPr>
      </w:pPr>
      <w:r>
        <w:rPr>
          <w:b/>
          <w:i/>
          <w:lang w:eastAsia="zh-TW"/>
        </w:rPr>
        <w:t>規範聲明: 本團隊保證清單中不包含 DeepSeek 及任何由中國大陸開發之</w:t>
      </w:r>
      <w:r>
        <w:rPr>
          <w:b/>
          <w:i/>
          <w:lang w:eastAsia="zh-TW"/>
        </w:rPr>
        <w:br/>
        <w:t>AI 工具</w:t>
      </w:r>
      <w:proofErr w:type="gramStart"/>
      <w:r>
        <w:rPr>
          <w:b/>
          <w:i/>
          <w:lang w:eastAsia="zh-TW"/>
        </w:rPr>
        <w:t>（</w:t>
      </w:r>
      <w:proofErr w:type="gramEnd"/>
      <w:r>
        <w:rPr>
          <w:b/>
          <w:i/>
          <w:lang w:eastAsia="zh-TW"/>
        </w:rPr>
        <w:t>如: 文心一言、</w:t>
      </w:r>
      <w:proofErr w:type="gramStart"/>
      <w:r>
        <w:rPr>
          <w:b/>
          <w:i/>
          <w:lang w:eastAsia="zh-TW"/>
        </w:rPr>
        <w:t>通義千問等）</w:t>
      </w:r>
      <w:proofErr w:type="gramEnd"/>
      <w:r>
        <w:rPr>
          <w:b/>
          <w:i/>
          <w:lang w:eastAsia="zh-TW"/>
        </w:rPr>
        <w:t>。若經查證屬實，願接受取消參賽及得獎資格之處分。</w:t>
      </w:r>
    </w:p>
    <w:p w14:paraId="6939EC3B" w14:textId="77777777" w:rsidR="00AB6D68" w:rsidRDefault="00000000">
      <w:pPr>
        <w:rPr>
          <w:lang w:eastAsia="zh-TW"/>
        </w:rPr>
      </w:pPr>
      <w:r>
        <w:rPr>
          <w:b/>
          <w:sz w:val="28"/>
          <w:lang w:eastAsia="zh-TW"/>
        </w:rPr>
        <w:t>6、  版權宣告</w:t>
      </w:r>
    </w:p>
    <w:p w14:paraId="6E287AD5" w14:textId="77777777" w:rsidR="00AB6D68" w:rsidRDefault="00000000">
      <w:pPr>
        <w:spacing w:after="20"/>
        <w:rPr>
          <w:lang w:eastAsia="zh-TW"/>
        </w:rPr>
      </w:pPr>
      <w:r>
        <w:rPr>
          <w:lang w:eastAsia="zh-TW"/>
        </w:rPr>
        <w:t>(1)  原創保證: 本作品</w:t>
      </w:r>
      <w:proofErr w:type="gramStart"/>
      <w:r>
        <w:rPr>
          <w:lang w:eastAsia="zh-TW"/>
        </w:rPr>
        <w:t>素材均為本</w:t>
      </w:r>
      <w:proofErr w:type="gramEnd"/>
      <w:r>
        <w:rPr>
          <w:lang w:eastAsia="zh-TW"/>
        </w:rPr>
        <w:t>團隊原創，或已依規定取得合法授權。</w:t>
      </w:r>
    </w:p>
    <w:p w14:paraId="21FD30B2" w14:textId="0521AF9A" w:rsidR="00AB6D68" w:rsidRDefault="00000000">
      <w:pPr>
        <w:spacing w:after="20"/>
        <w:rPr>
          <w:lang w:eastAsia="zh-TW"/>
        </w:rPr>
      </w:pPr>
      <w:r>
        <w:rPr>
          <w:lang w:eastAsia="zh-TW"/>
        </w:rPr>
        <w:lastRenderedPageBreak/>
        <w:t>(2)  素材授權說明: 本作品若有使用具著作權之素材，相關合法授權證明文件</w:t>
      </w:r>
      <w:r>
        <w:rPr>
          <w:lang w:eastAsia="zh-TW"/>
        </w:rPr>
        <w:br/>
        <w:t xml:space="preserve">     （版權授權書、原始來源截圖等）已另行整合於「其他證明文件」檔案中</w:t>
      </w:r>
      <w:r w:rsidR="007B71DB">
        <w:rPr>
          <w:rFonts w:hint="eastAsia"/>
          <w:lang w:eastAsia="zh-TW"/>
        </w:rPr>
        <w:t xml:space="preserve">         </w:t>
      </w:r>
      <w:r>
        <w:rPr>
          <w:lang w:eastAsia="zh-TW"/>
        </w:rPr>
        <w:t>上傳，以利查核。</w:t>
      </w:r>
    </w:p>
    <w:p w14:paraId="0941E520" w14:textId="3131699E" w:rsidR="00AB6D68" w:rsidRDefault="00000000">
      <w:pPr>
        <w:spacing w:after="20"/>
        <w:rPr>
          <w:lang w:eastAsia="zh-TW"/>
        </w:rPr>
      </w:pPr>
      <w:r>
        <w:rPr>
          <w:lang w:eastAsia="zh-TW"/>
        </w:rPr>
        <w:t>(3)  責任承擔聲明: 本團隊保證無侵權行為，若有</w:t>
      </w:r>
      <w:proofErr w:type="gramStart"/>
      <w:r>
        <w:rPr>
          <w:lang w:eastAsia="zh-TW"/>
        </w:rPr>
        <w:t>不實願自負</w:t>
      </w:r>
      <w:proofErr w:type="gramEnd"/>
      <w:r>
        <w:rPr>
          <w:lang w:eastAsia="zh-TW"/>
        </w:rPr>
        <w:t>法律責任並取消參賽及得獎資格。</w:t>
      </w:r>
    </w:p>
    <w:sectPr w:rsidR="00AB6D68" w:rsidSect="00034616">
      <w:pgSz w:w="11906" w:h="16838"/>
      <w:pgMar w:top="1613" w:right="1512" w:bottom="1440" w:left="165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627087">
    <w:abstractNumId w:val="8"/>
  </w:num>
  <w:num w:numId="2" w16cid:durableId="480384887">
    <w:abstractNumId w:val="6"/>
  </w:num>
  <w:num w:numId="3" w16cid:durableId="1724327190">
    <w:abstractNumId w:val="5"/>
  </w:num>
  <w:num w:numId="4" w16cid:durableId="1566992457">
    <w:abstractNumId w:val="4"/>
  </w:num>
  <w:num w:numId="5" w16cid:durableId="368069598">
    <w:abstractNumId w:val="7"/>
  </w:num>
  <w:num w:numId="6" w16cid:durableId="1417483640">
    <w:abstractNumId w:val="3"/>
  </w:num>
  <w:num w:numId="7" w16cid:durableId="658190572">
    <w:abstractNumId w:val="2"/>
  </w:num>
  <w:num w:numId="8" w16cid:durableId="286787501">
    <w:abstractNumId w:val="1"/>
  </w:num>
  <w:num w:numId="9" w16cid:durableId="175670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2DC"/>
    <w:rsid w:val="007B71DB"/>
    <w:rsid w:val="008056E0"/>
    <w:rsid w:val="00AA1D8D"/>
    <w:rsid w:val="00AB6D68"/>
    <w:rsid w:val="00B47730"/>
    <w:rsid w:val="00CB0664"/>
    <w:rsid w:val="00D00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94768"/>
  <w14:defaultImageDpi w14:val="300"/>
  <w15:docId w15:val="{05C1FFD6-F13C-417A-B3CD-C2F61E7A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69" w:lineRule="auto"/>
    </w:pPr>
    <w:rPr>
      <w:rFonts w:ascii="微軟正黑體" w:eastAsia="微軟正黑體" w:hAnsi="微軟正黑體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資訊組_NutriGuard_構想提案書</dc:title>
  <dc:creator/>
  <cp:lastModifiedBy>135 abyss</cp:lastModifiedBy>
  <cp:revision>2</cp:revision>
  <dcterms:created xsi:type="dcterms:W3CDTF">2026-07-03T22:06:00Z</dcterms:created>
  <dcterms:modified xsi:type="dcterms:W3CDTF">2026-07-03T22:09:00Z</dcterms:modified>
</cp:coreProperties>
</file>