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3752D">
      <w:pPr>
        <w:tabs>
          <w:tab w:val="left" w:pos="6870"/>
        </w:tabs>
      </w:pPr>
    </w:p>
    <w:p w14:paraId="35F2E9D5">
      <w:pPr>
        <w:tabs>
          <w:tab w:val="left" w:pos="6870"/>
        </w:tabs>
      </w:pPr>
    </w:p>
    <w:p w14:paraId="430169D8">
      <w:pPr>
        <w:tabs>
          <w:tab w:val="left" w:pos="6870"/>
        </w:tabs>
      </w:pPr>
    </w:p>
    <w:p w14:paraId="284658AA">
      <w:pPr>
        <w:tabs>
          <w:tab w:val="left" w:pos="6870"/>
        </w:tabs>
      </w:pPr>
    </w:p>
    <w:p w14:paraId="2DC43964">
      <w:pPr>
        <w:tabs>
          <w:tab w:val="left" w:pos="6870"/>
        </w:tabs>
      </w:pPr>
    </w:p>
    <w:p w14:paraId="5BDA7DAE">
      <w:pPr>
        <w:tabs>
          <w:tab w:val="left" w:pos="6870"/>
        </w:tabs>
      </w:pPr>
    </w:p>
    <w:p w14:paraId="68145992">
      <w:pPr>
        <w:tabs>
          <w:tab w:val="left" w:pos="6870"/>
        </w:tabs>
      </w:pPr>
    </w:p>
    <w:p w14:paraId="6FBD1C50">
      <w:pPr>
        <w:tabs>
          <w:tab w:val="left" w:pos="6870"/>
        </w:tabs>
        <w:jc w:val="center"/>
      </w:pPr>
      <w:r>
        <w:object>
          <v:shape id="_x0000_i1025" o:spt="75" type="#_x0000_t75" style="height:57.6pt;width:235.6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 w14:paraId="44F426F1">
      <w:pPr>
        <w:tabs>
          <w:tab w:val="left" w:pos="6870"/>
        </w:tabs>
        <w:jc w:val="center"/>
        <w:rPr>
          <w:rFonts w:ascii="Times New Roman" w:hAnsi="Times New Roman" w:eastAsia="黑体" w:cs="Times New Roman"/>
          <w:sz w:val="72"/>
        </w:rPr>
      </w:pPr>
      <w:r>
        <w:rPr>
          <w:rFonts w:hint="eastAsia" w:ascii="黑体" w:eastAsia="黑体"/>
          <w:sz w:val="72"/>
        </w:rPr>
        <w:t>专业课程设计</w:t>
      </w:r>
      <w:r>
        <w:rPr>
          <w:rFonts w:hint="eastAsia" w:ascii="Times New Roman" w:hAnsi="Times New Roman" w:eastAsia="黑体" w:cs="Times New Roman"/>
          <w:sz w:val="72"/>
        </w:rPr>
        <w:t>报告</w:t>
      </w:r>
    </w:p>
    <w:p w14:paraId="6586CB62">
      <w:pPr>
        <w:tabs>
          <w:tab w:val="left" w:pos="6870"/>
        </w:tabs>
        <w:spacing w:before="156" w:beforeLines="50"/>
        <w:jc w:val="center"/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（ 20</w:t>
      </w:r>
      <w:r>
        <w:rPr>
          <w:rFonts w:ascii="黑体" w:eastAsia="黑体"/>
          <w:sz w:val="30"/>
        </w:rPr>
        <w:t>2</w:t>
      </w:r>
      <w:r>
        <w:rPr>
          <w:rFonts w:hint="eastAsia" w:ascii="黑体" w:eastAsia="黑体"/>
          <w:sz w:val="30"/>
          <w:lang w:val="en-US" w:eastAsia="zh-CN"/>
        </w:rPr>
        <w:t>6</w:t>
      </w:r>
      <w:r>
        <w:rPr>
          <w:rFonts w:hint="eastAsia" w:ascii="黑体" w:eastAsia="黑体"/>
          <w:sz w:val="30"/>
        </w:rPr>
        <w:t>/ 202</w:t>
      </w:r>
      <w:r>
        <w:rPr>
          <w:rFonts w:hint="eastAsia" w:ascii="黑体" w:eastAsia="黑体"/>
          <w:sz w:val="30"/>
          <w:lang w:val="en-US" w:eastAsia="zh-CN"/>
        </w:rPr>
        <w:t>7</w:t>
      </w:r>
      <w:r>
        <w:rPr>
          <w:rFonts w:hint="eastAsia" w:ascii="黑体" w:eastAsia="黑体"/>
          <w:sz w:val="30"/>
        </w:rPr>
        <w:t>学年 第 一 学期）</w:t>
      </w:r>
    </w:p>
    <w:p w14:paraId="7F3554A6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3BFD73A5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054A46DA">
      <w:pPr>
        <w:tabs>
          <w:tab w:val="left" w:pos="6870"/>
        </w:tabs>
        <w:ind w:firstLine="0" w:left="1080"/>
        <w:rPr>
          <w:sz w:val="44"/>
          <w:szCs w:val="44"/>
          <w:u w:val="single"/>
        </w:rPr>
      </w:pPr>
      <w:r>
        <w:rPr>
          <w:rFonts w:hint="eastAsia" w:ascii="黑体" w:eastAsia="黑体" w:hAnsi="黑体"/>
          <w:b w:val="0"/>
          <w:color w:val="000000"/>
          <w:sz w:val="44"/>
        </w:rPr>
        <w:t>题   目：基于同态加密的</w:t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</w:p>
    <w:p w14:paraId="0D8CDEBB">
      <w:pPr>
        <w:tabs>
          <w:tab w:val="left" w:pos="6870"/>
        </w:tabs>
        <w:ind w:firstLine="0" w:left="3060"/>
        <w:rPr>
          <w:sz w:val="44"/>
          <w:szCs w:val="44"/>
          <w:u w:val="single"/>
        </w:rPr>
      </w:pPr>
      <w:r>
        <w:rPr>
          <w:rFonts w:hint="eastAsia" w:ascii="黑体" w:hAnsi="黑体" w:eastAsia="黑体"/>
          <w:b w:val="0"/>
          <w:color w:val="000000"/>
          <w:sz w:val="44"/>
          <w:szCs w:val="44"/>
        </w:rPr>
        <w:t>隐私保护投票系统</w:t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</w:p>
    <w:p w14:paraId="704974FC">
      <w:pPr>
        <w:spacing w:line="360" w:lineRule="auto"/>
        <w:jc w:val="center"/>
        <w:rPr>
          <w:b/>
          <w:bCs/>
          <w:sz w:val="32"/>
          <w:u w:val="single"/>
        </w:rPr>
      </w:pPr>
    </w:p>
    <w:p w14:paraId="4D19EB92">
      <w:pPr>
        <w:tabs>
          <w:tab w:val="left" w:pos="6870"/>
        </w:tabs>
        <w:rPr>
          <w:rFonts w:ascii="黑体" w:eastAsia="黑体"/>
          <w:sz w:val="44"/>
        </w:rPr>
      </w:pPr>
    </w:p>
    <w:tbl>
      <w:tblPr>
        <w:tblStyle w:val="12"/>
        <w:tblW w:w="6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3754"/>
      </w:tblGrid>
      <w:tr w14:paraId="1CBD90A0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766F1BF9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专          业</w:t>
            </w:r>
          </w:p>
        </w:tc>
        <w:tc>
          <w:tcPr>
            <w:tcW w:w="375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F911ACB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信息安全</w:t>
            </w:r>
          </w:p>
        </w:tc>
      </w:tr>
      <w:tr w14:paraId="42EE181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F620A6A">
            <w:pPr>
              <w:tabs>
                <w:tab w:val="left" w:pos="6870"/>
              </w:tabs>
              <w:ind w:left="120" w:leftChars="5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学  生  姓  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F365880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30"/>
              </w:rPr>
              <w:t>成员C  姓名：________</w:t>
            </w:r>
          </w:p>
        </w:tc>
      </w:tr>
      <w:tr w14:paraId="064B8595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431F1248">
            <w:pPr>
              <w:tabs>
                <w:tab w:val="left" w:pos="6870"/>
              </w:tabs>
              <w:ind w:left="120" w:leftChars="5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班  级  学  号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A0D2B86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30"/>
              </w:rPr>
              <w:t>B230414  学号：________</w:t>
            </w:r>
          </w:p>
        </w:tc>
      </w:tr>
      <w:tr w14:paraId="7F3CB1B3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1A5046B3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教  师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4B502E4">
            <w:pPr>
              <w:tabs>
                <w:tab w:val="left" w:pos="6870"/>
              </w:tabs>
              <w:jc w:val="center"/>
              <w:rPr>
                <w:rFonts w:hint="eastAsia" w:eastAsia="宋体"/>
                <w:b/>
                <w:sz w:val="30"/>
                <w:szCs w:val="30"/>
                <w:lang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吴严生</w:t>
            </w:r>
          </w:p>
        </w:tc>
      </w:tr>
      <w:tr w14:paraId="37B439BC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67A2E2A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单  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849F121">
            <w:pPr>
              <w:tabs>
                <w:tab w:val="left" w:pos="6870"/>
              </w:tabs>
              <w:spacing w:line="240" w:lineRule="atLeas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28"/>
                <w:szCs w:val="28"/>
              </w:rPr>
              <w:t>计算机学院、软件学院、网络空间安全学院</w:t>
            </w:r>
          </w:p>
        </w:tc>
      </w:tr>
      <w:tr w14:paraId="201E9398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1817A45C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日          期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right w:val="nil"/>
            </w:tcBorders>
            <w:vAlign w:val="bottom"/>
          </w:tcPr>
          <w:p w14:paraId="5E0926B3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  <w:t>2026.10.26—2026.11.06</w:t>
            </w:r>
            <w:r>
              <w:rPr>
                <w:rFonts w:hint="eastAsia" w:ascii="Times New Roman" w:hAnsi="Times New Roman" w:cs="Times New Roman" w:eastAsia="宋体"/>
                <w:b w:val="0"/>
                <w:color w:val="000000"/>
                <w:sz w:val="30"/>
                <w:szCs w:val="30"/>
                <w:lang w:val="en-US" w:eastAsia="zh-CN"/>
              </w:rPr>
            </w: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  <w:r>
              <w:rPr>
                <w:rFonts w:hint="eastAsia" w:ascii="Times New Roman" w:hAnsi="Times New Roman" w:cs="Times New Roman" w:eastAsia="宋体"/>
                <w:b w:val="0"/>
                <w:color w:val="000000"/>
                <w:sz w:val="30"/>
                <w:szCs w:val="30"/>
                <w:lang w:val="en-US" w:eastAsia="zh-CN"/>
              </w:rPr>
            </w: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  <w:r>
              <w:rPr>
                <w:rFonts w:hint="eastAsia"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</w:p>
        </w:tc>
      </w:tr>
    </w:tbl>
    <w:p>
      <w:pPr>
        <w:pageBreakBefore/>
        <w:spacing w:after="0" w:before="0" w:line="20" w:lineRule="exact"/>
      </w:pPr>
      <w:r>
        <w:rPr>
          <w:sz w:val="2"/>
        </w:rPr>
      </w:r>
    </w:p>
    <w:tbl>
      <w:tblPr>
        <w:tblStyle w:val="11"/>
        <w:tblW w:w="952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5313"/>
        <w:gridCol w:w="1316"/>
      </w:tblGrid>
      <w:tr w14:paraId="78B71AE5">
        <w:trPr>
          <w:cantSplit/>
          <w:trHeight w:val="693" w:hRule="atLeast"/>
        </w:trPr>
        <w:tc>
          <w:tcPr>
            <w:tcW w:w="2895" w:type="dxa"/>
            <w:tcBorders>
              <w:top w:val="single" w:color="auto" w:sz="4" w:space="0"/>
            </w:tcBorders>
            <w:vAlign w:val="center"/>
          </w:tcPr>
          <w:p w14:paraId="341C74D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课程目标</w:t>
            </w:r>
          </w:p>
        </w:tc>
        <w:tc>
          <w:tcPr>
            <w:tcW w:w="5313" w:type="dxa"/>
            <w:tcBorders>
              <w:top w:val="single" w:color="auto" w:sz="4" w:space="0"/>
            </w:tcBorders>
            <w:vAlign w:val="center"/>
          </w:tcPr>
          <w:p w14:paraId="42BB8FB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评价准则</w:t>
            </w:r>
          </w:p>
        </w:tc>
        <w:tc>
          <w:tcPr>
            <w:tcW w:w="1316" w:type="dxa"/>
            <w:tcBorders>
              <w:top w:val="single" w:color="auto" w:sz="4" w:space="0"/>
            </w:tcBorders>
            <w:vAlign w:val="center"/>
          </w:tcPr>
          <w:p w14:paraId="3084FBA8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计分（每项10分）</w:t>
            </w:r>
          </w:p>
        </w:tc>
      </w:tr>
      <w:tr w14:paraId="0251F9B4">
        <w:trPr>
          <w:cantSplit/>
          <w:trHeight w:val="700" w:hRule="atLeast"/>
        </w:trPr>
        <w:tc>
          <w:tcPr>
            <w:tcW w:w="2895" w:type="dxa"/>
            <w:vMerge w:val="restart"/>
            <w:vAlign w:val="center"/>
          </w:tcPr>
          <w:p w14:paraId="238FAC3E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课程目标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1：通过课程设计，培养学生综合应用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信息安全、计算机技术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等领域专业知识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的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技能。（20分）</w:t>
            </w:r>
          </w:p>
        </w:tc>
        <w:tc>
          <w:tcPr>
            <w:tcW w:w="5313" w:type="dxa"/>
            <w:vAlign w:val="center"/>
          </w:tcPr>
          <w:p w14:paraId="59CF9379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1、能够掌握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的相关基础知识，并能够针对求解的工程问题，收集资料进行合理的分析与设计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0B5977B4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61379F22">
        <w:trPr>
          <w:cantSplit/>
        </w:trPr>
        <w:tc>
          <w:tcPr>
            <w:tcW w:w="2895" w:type="dxa"/>
            <w:vMerge w:val="continue"/>
            <w:vAlign w:val="center"/>
          </w:tcPr>
          <w:p w14:paraId="1DE5228B">
            <w:pPr>
              <w:spacing w:before="93" w:beforeLines="30" w:after="93" w:afterLines="3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313" w:type="dxa"/>
            <w:vAlign w:val="center"/>
          </w:tcPr>
          <w:p w14:paraId="7A6AF228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2、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从软件的分析、设计到编制调试，结合计算机网络理论知识、编程语言以及程序设计的方法，能够解决一个和信息安全相关的问题。</w:t>
            </w:r>
          </w:p>
        </w:tc>
        <w:tc>
          <w:tcPr>
            <w:tcW w:w="1316" w:type="dxa"/>
            <w:vAlign w:val="center"/>
          </w:tcPr>
          <w:p w14:paraId="73D8DA32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004BEEC7">
        <w:trPr>
          <w:cantSplit/>
        </w:trPr>
        <w:tc>
          <w:tcPr>
            <w:tcW w:w="2895" w:type="dxa"/>
            <w:vMerge w:val="restart"/>
            <w:vAlign w:val="center"/>
          </w:tcPr>
          <w:p w14:paraId="2DE0B5A4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目标2：解决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领域复杂工程问题的实践创新能力。（20分）</w:t>
            </w:r>
          </w:p>
        </w:tc>
        <w:tc>
          <w:tcPr>
            <w:tcW w:w="5313" w:type="dxa"/>
            <w:vAlign w:val="center"/>
          </w:tcPr>
          <w:p w14:paraId="20A529B3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3、通过调研，能够选择合适的程序设计语言与编程开发平台，对求解的工程问题进行编程实现。</w:t>
            </w:r>
          </w:p>
        </w:tc>
        <w:tc>
          <w:tcPr>
            <w:tcW w:w="1316" w:type="dxa"/>
            <w:vAlign w:val="center"/>
          </w:tcPr>
          <w:p w14:paraId="7B3D78B0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31E7BE8A">
        <w:trPr>
          <w:cantSplit/>
        </w:trPr>
        <w:tc>
          <w:tcPr>
            <w:tcW w:w="2895" w:type="dxa"/>
            <w:vMerge w:val="continue"/>
            <w:vAlign w:val="center"/>
          </w:tcPr>
          <w:p w14:paraId="7C13FF10">
            <w:pPr>
              <w:spacing w:before="93" w:beforeLines="30" w:after="93" w:afterLines="3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313" w:type="dxa"/>
            <w:vAlign w:val="center"/>
          </w:tcPr>
          <w:p w14:paraId="262D008D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4、具备一定的人机交互设计意识，人机交互设计合理、友好，操作简便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277AED20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5529864B">
        <w:trPr>
          <w:cantSplit/>
        </w:trPr>
        <w:tc>
          <w:tcPr>
            <w:tcW w:w="2895" w:type="dxa"/>
            <w:vAlign w:val="center"/>
          </w:tcPr>
          <w:p w14:paraId="22858CC6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课程目标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3：文献调研与资料收集能力，问题发现、研究、分析与解决能力。（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0分）</w:t>
            </w:r>
          </w:p>
        </w:tc>
        <w:tc>
          <w:tcPr>
            <w:tcW w:w="5313" w:type="dxa"/>
            <w:vAlign w:val="center"/>
          </w:tcPr>
          <w:p w14:paraId="78765D32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具备一定自学能力与探索创新意识，能够充分利用教科书及其资源（如网络等）自学新知识与新技能。</w:t>
            </w:r>
          </w:p>
        </w:tc>
        <w:tc>
          <w:tcPr>
            <w:tcW w:w="1316" w:type="dxa"/>
            <w:vAlign w:val="center"/>
          </w:tcPr>
          <w:p w14:paraId="6FE23C20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1C2702A3">
        <w:trPr>
          <w:cantSplit/>
        </w:trPr>
        <w:tc>
          <w:tcPr>
            <w:tcW w:w="2895" w:type="dxa"/>
            <w:vMerge w:val="restart"/>
            <w:vAlign w:val="center"/>
          </w:tcPr>
          <w:p w14:paraId="3511D007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目标4：培养工程工具运用能力，能够利用仿真软件或实验系统对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系统进行模拟和预测，并理解仿真软件或实验硬件的局限性。（20分）</w:t>
            </w:r>
          </w:p>
        </w:tc>
        <w:tc>
          <w:tcPr>
            <w:tcW w:w="5313" w:type="dxa"/>
            <w:vAlign w:val="center"/>
          </w:tcPr>
          <w:p w14:paraId="07665BC9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6、能够结合计算机软硬件资源，合理选用算法、数据结构、数据存储方式等技术手段，理解相关算法，对求解的工程问题进行有效建模和求解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7CDBED2E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16C06164">
        <w:trPr>
          <w:cantSplit/>
        </w:trPr>
        <w:tc>
          <w:tcPr>
            <w:tcW w:w="2895" w:type="dxa"/>
            <w:vMerge w:val="continue"/>
            <w:vAlign w:val="center"/>
          </w:tcPr>
          <w:p w14:paraId="1F9CE3AF">
            <w:pPr>
              <w:spacing w:before="93" w:beforeLines="30" w:after="93" w:afterLines="3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60D77A74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7、掌握调试方法与工具，对程序开发过程中出现的问题进行分析、跟踪与调试，并能够进行充分测试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458191BA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3A298B71">
        <w:trPr>
          <w:cantSplit/>
        </w:trPr>
        <w:tc>
          <w:tcPr>
            <w:tcW w:w="2895" w:type="dxa"/>
            <w:vMerge w:val="restart"/>
            <w:vAlign w:val="center"/>
          </w:tcPr>
          <w:p w14:paraId="6D65047B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目标5：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分组完成一次项目设计与开发的全过程，组内成员通过讨论和交流解决课程设计中的难题，能在实验报告中准确阐述课程设计的内容，能够清晰陈述观点和回答问题。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0分）</w:t>
            </w:r>
          </w:p>
        </w:tc>
        <w:tc>
          <w:tcPr>
            <w:tcW w:w="5313" w:type="dxa"/>
            <w:vAlign w:val="center"/>
          </w:tcPr>
          <w:p w14:paraId="5769C3A4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、组内成员之间有一定的团队合作，互通有无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Merge w:val="restart"/>
            <w:vAlign w:val="center"/>
          </w:tcPr>
          <w:p w14:paraId="0F834638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157125D2">
        <w:trPr>
          <w:cantSplit/>
          <w:trHeight w:val="1433" w:hRule="atLeast"/>
        </w:trPr>
        <w:tc>
          <w:tcPr>
            <w:tcW w:w="2895" w:type="dxa"/>
            <w:vMerge w:val="continue"/>
            <w:vAlign w:val="center"/>
          </w:tcPr>
          <w:p w14:paraId="66D73142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6889AE8E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、具备一定的语言表达能力与文字处理能力，能够结合复杂工程问题撰写报告，报告内容和实验数据详实，格式规范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Merge w:val="continue"/>
            <w:vAlign w:val="center"/>
          </w:tcPr>
          <w:p w14:paraId="04FA67EA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224A7055">
        <w:trPr>
          <w:cantSplit/>
        </w:trPr>
        <w:tc>
          <w:tcPr>
            <w:tcW w:w="2895" w:type="dxa"/>
            <w:vMerge w:val="continue"/>
            <w:vAlign w:val="center"/>
          </w:tcPr>
          <w:p w14:paraId="30C4AA67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03CA0557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、能够正确、完整地回答指导教师关于课题的问询，反映其对课题内容，以及相关的工程基础知识具有较好的理解和掌握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Merge w:val="continue"/>
            <w:vAlign w:val="center"/>
          </w:tcPr>
          <w:p w14:paraId="783B9EDD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2D870748">
        <w:trPr>
          <w:cantSplit/>
          <w:trHeight w:val="942" w:hRule="atLeast"/>
        </w:trPr>
        <w:tc>
          <w:tcPr>
            <w:tcW w:w="8208" w:type="dxa"/>
            <w:gridSpan w:val="2"/>
            <w:vAlign w:val="center"/>
          </w:tcPr>
          <w:p w14:paraId="1CC44406">
            <w:pPr>
              <w:spacing w:before="93" w:beforeLines="30" w:after="93" w:afterLines="30"/>
              <w:jc w:val="left"/>
            </w:pPr>
            <w:r>
              <w:rPr>
                <w:rFonts w:ascii="Times New Roman" w:hAnsi="Times New Roman" w:cs="Times New Roman"/>
              </w:rPr>
              <w:t>专业课程设计能力测评总分</w:t>
            </w:r>
          </w:p>
        </w:tc>
        <w:tc>
          <w:tcPr>
            <w:tcW w:w="1316" w:type="dxa"/>
            <w:vAlign w:val="center"/>
          </w:tcPr>
          <w:p w14:paraId="3072572C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3DAF24B8">
        <w:trPr>
          <w:cantSplit/>
          <w:trHeight w:val="1361" w:hRule="atLeast"/>
        </w:trPr>
        <w:tc>
          <w:tcPr>
            <w:tcW w:w="9524" w:type="dxa"/>
            <w:gridSpan w:val="3"/>
            <w:vAlign w:val="center"/>
          </w:tcPr>
          <w:p w14:paraId="302F15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</w:t>
            </w:r>
          </w:p>
          <w:p w14:paraId="2A2144B5">
            <w:r>
              <w:rPr>
                <w:rFonts w:hint="eastAsia"/>
                <w:b/>
                <w:bCs/>
              </w:rPr>
              <w:t>指导教师：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  <w:u w:val="single"/>
              </w:rPr>
            </w:r>
            <w:r>
              <w:rPr>
                <w:rFonts w:hint="eastAsia"/>
                <w:b/>
                <w:bCs/>
                <w:u w:val="single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               </w:t>
            </w:r>
            <w:r>
              <w:rPr>
                <w:b/>
                <w:bCs/>
              </w:rPr>
              <w:t xml:space="preserve">      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b/>
                <w:bCs/>
                <w:u w:val="single"/>
              </w:rPr>
              <w:t>202</w:t>
            </w:r>
            <w:r>
              <w:rPr>
                <w:rFonts w:hint="eastAsia"/>
                <w:b/>
                <w:bCs/>
                <w:u w:val="single"/>
                <w:lang w:val="en-US" w:eastAsia="zh-CN"/>
              </w:rPr>
              <w:t>6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b/>
                <w:bCs/>
                <w:u w:val="single"/>
              </w:rPr>
              <w:t>11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>4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日</w:t>
            </w:r>
          </w:p>
          <w:p w14:paraId="1967C9A3">
            <w:pPr>
              <w:jc w:val="center"/>
              <w:rPr>
                <w:b/>
                <w:bCs/>
              </w:rPr>
            </w:pPr>
          </w:p>
        </w:tc>
      </w:tr>
      <w:tr w14:paraId="0DA87145">
        <w:trPr>
          <w:cantSplit/>
          <w:trHeight w:val="1006" w:hRule="atLeast"/>
        </w:trPr>
        <w:tc>
          <w:tcPr>
            <w:tcW w:w="9524" w:type="dxa"/>
            <w:gridSpan w:val="3"/>
          </w:tcPr>
          <w:p w14:paraId="03206AA8">
            <w:pPr>
              <w:spacing w:before="156" w:beforeLines="5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FF0000"/>
              </w:rPr>
              <w:t>备注：加上平时成绩之后换算的总评成绩及等级（优、良、中、及格等）：</w:t>
            </w:r>
          </w:p>
        </w:tc>
      </w:tr>
    </w:tbl>
    <w:p>
      <w:pPr>
        <w:pStyle w:val="ReportTitle"/>
        <w:pageBreakBefore/>
      </w:pPr>
      <w:r>
        <w:t>基于同态加密的隐私保护投票系统</w:t>
      </w:r>
    </w:p>
    <w:p>
      <w:pPr>
        <w:pStyle w:val="ReportH2"/>
      </w:pPr>
      <w:r>
        <w:t>成员C分工报告  联网收票、事务审计与可视化交互</w:t>
      </w:r>
    </w:p>
    <w:p>
      <w:pPr>
        <w:pStyle w:val="ReportH1"/>
      </w:pPr>
      <w:r>
        <w:t>一、课题内容和要求</w:t>
      </w:r>
    </w:p>
    <w:p>
      <w:pPr>
        <w:pStyle w:val="ReportH2"/>
      </w:pPr>
      <w:r>
        <w:t>1.1 课题内容</w:t>
      </w:r>
    </w:p>
    <w:p>
      <w:pPr>
        <w:pStyle w:val="ReportBody"/>
      </w:pPr>
      <w:r>
        <w:t>设计一个电子投票系统，利用同态加密技术，使服务器在不查看个人投票内容的情况下统计总票。本实现采用Paillier加法同态：投票端本地加密，服务器只接收密文并进行列乘积，独立保管端只解密完整汇总，服务器公布经过签名的总票。</w:t>
      </w:r>
    </w:p>
    <w:p>
      <w:pPr>
        <w:pStyle w:val="ReportBody"/>
      </w:pPr>
      <w:r>
        <w:t>操作场景为局域网服务器开放端口，各客户端填写IP和端口连接，也允许本机启动多个客户端模拟多端。选票包含ID、票型、时间戳、随机标识与密文向量；通过凭证绑定和签名记录检测重复、越权及数据修改。</w:t>
      </w:r>
    </w:p>
    <w:p>
      <w:pPr>
        <w:pStyle w:val="ReportH2"/>
      </w:pPr>
      <w:r>
        <w:t>1.2 本分工要求</w:t>
      </w:r>
    </w:p>
    <w:p>
      <w:pPr>
        <w:pStyle w:val="ReportBody"/>
      </w:pPr>
      <w:r>
        <w:t>本分工负责联网收票、事务审计与可视化交互，需要说明数据输入、输出、失败条件及与其他模块的接口；通过可复跑的实验验证功能、耗时和安全边界。</w:t>
      </w:r>
    </w:p>
    <w:p>
      <w:pPr>
        <w:pStyle w:val="ReportBody"/>
      </w:pPr>
      <w:r>
        <w:t>本分工主要代码：network_store.py、network_server.py、network_ui.py、network_cli.py、network_ui_smoke.py。A/B/C表示模块责任，姓名学号与实际个人贡献由成员据实确认。</w:t>
      </w:r>
    </w:p>
    <w:p>
      <w:pPr>
        <w:pStyle w:val="ReportH1"/>
      </w:pPr>
      <w:r>
        <w:t>二、需求分析和总体设计</w:t>
      </w:r>
    </w:p>
    <w:p>
      <w:pPr>
        <w:pStyle w:val="ReportH2"/>
      </w:pPr>
      <w:r>
        <w:t>2.1 本课题的主要功能</w:t>
      </w:r>
    </w:p>
    <w:p>
      <w:pPr>
        <w:pStyle w:val="ReportBody"/>
      </w:pPr>
      <w:r>
        <w:t>服务器开放可配置的HTTPS端口；客户端输入IP、端口并导入凭证连接。接收端把高熵票码绑定ID，在SQLite事务中检查状态和重复记录，原子写入选票及签名清单。桌面界面显示验证后的回执、接收数量和公开结果，管理员具有关闭、导出与发布操作。</w:t>
      </w:r>
    </w:p>
    <w:p>
      <w:pPr>
        <w:pStyle w:val="ReportH2"/>
      </w:pPr>
      <w:r>
        <w:t>2.2 本课题的设计过程</w:t>
      </w:r>
    </w:p>
    <w:p>
      <w:pPr>
        <w:pStyle w:val="ReportBody"/>
      </w:pPr>
      <w:r>
        <w:t>原单机JSON文件与QLockFile只适合一个写入者。联网后使用BEGIN IMMEDIATE串行化写事务，voter_id主键与nonce唯一约束共同限制重复登记。HTTPS处理器负责消息大小、JSON格式、凭证及角色检查；存储模块负责事务与完整性。Qt后台线程处理网络和加密，主线程更新控件。</w:t>
      </w:r>
    </w:p>
    <w:p>
      <w:pPr>
        <w:pStyle w:val="ReportH2"/>
      </w:pPr>
      <w:r>
        <w:t>2.3 系统部署与接口</w:t>
      </w:r>
    </w:p>
    <w:p>
      <w:pPr>
        <w:pStyle w:val="ReportBody"/>
      </w:pPr>
      <w:r>
        <w:t>组织者在保管端初始化三个目录：server部署到收票电脑，trustee留在独立保管电脑，organizer内的凭证按身份分发。初始化过程中产生私钥，但运行中的网络服务器从未获得Paillier私钥；服务器TLS私钥和登记签名私钥仅用于通信、审计，不具有选票解密能力。</w:t>
      </w:r>
    </w:p>
    <w:p>
      <w:pPr>
        <w:pStyle w:val="ReportCaption"/>
        <w:keepNext/>
      </w:pPr>
      <w:r>
        <w:t>表1 三端职责和数据边界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361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shd w:fill="E8EEF3"/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45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shd w:fill="E8EEF3"/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输入与操作</w:t>
            </w:r>
          </w:p>
        </w:tc>
        <w:tc>
          <w:tcPr>
            <w:tcW w:type="dxa" w:w="2948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shd w:fill="E8EEF3"/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可持有的秘密</w:t>
            </w:r>
          </w:p>
        </w:tc>
      </w:tr>
      <w:tr>
        <w:tc>
          <w:tcPr>
            <w:tcW w:type="dxa" w:w="1361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客户端</w:t>
            </w:r>
          </w:p>
        </w:tc>
        <w:tc>
          <w:tcPr>
            <w:tcW w:type="dxa" w:w="45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IP、端口、凭证；本地加密后提交密文</w:t>
            </w:r>
          </w:p>
        </w:tc>
        <w:tc>
          <w:tcPr>
            <w:tcW w:type="dxa" w:w="2948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本人票码、当前选择</w:t>
            </w:r>
          </w:p>
        </w:tc>
      </w:tr>
      <w:tr>
        <w:tc>
          <w:tcPr>
            <w:tcW w:type="dxa" w:w="1361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服务器</w:t>
            </w:r>
          </w:p>
        </w:tc>
        <w:tc>
          <w:tcPr>
            <w:tcW w:type="dxa" w:w="45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认证登记、关闭、密文汇总与结果发布</w:t>
            </w:r>
          </w:p>
        </w:tc>
        <w:tc>
          <w:tcPr>
            <w:tcW w:type="dxa" w:w="2948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TLS和登记签名密钥、票码摘要</w:t>
            </w:r>
          </w:p>
        </w:tc>
      </w:tr>
      <w:tr>
        <w:tc>
          <w:tcPr>
            <w:tcW w:type="dxa" w:w="1361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保管端</w:t>
            </w:r>
          </w:p>
        </w:tc>
        <w:tc>
          <w:tcPr>
            <w:tcW w:type="dxa" w:w="45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离线核验完整汇总、解密并签署总票</w:t>
            </w:r>
          </w:p>
        </w:tc>
        <w:tc>
          <w:tcPr>
            <w:tcW w:type="dxa" w:w="2948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Paillier私钥、结果签名私钥</w:t>
            </w:r>
          </w:p>
        </w:tc>
      </w:tr>
    </w:tbl>
    <w:p>
      <w:pPr>
        <w:pStyle w:val="ReportBody"/>
      </w:pPr>
      <w:r>
        <w:t>网络接口均以/api为前缀，以JSON交换数据：election和status返回公开状态；ballots只接受密文选票；me返回绑定身份和本人回执；管理员使用close、export和results。服务器不提供接收明文choice、私钥或保管口令的接口。</w:t>
      </w:r>
    </w:p>
    <w:p>
      <w:pPr>
        <w:pStyle w:val="ReportH1"/>
      </w:pPr>
      <w:r>
        <w:t>三、相关功能模块详细设计</w:t>
      </w:r>
    </w:p>
    <w:p>
      <w:pPr>
        <w:pStyle w:val="ReportH2"/>
      </w:pPr>
      <w:r>
        <w:t>3.1 同态加密原理与计票过程</w:t>
      </w:r>
    </w:p>
    <w:p>
      <w:pPr>
        <w:pStyle w:val="ReportBody"/>
      </w:pPr>
      <w:r>
        <w:t>Paillier密钥取不同素数p、q，令n=pq、g=n+1。明文m使用与n互素的独立随机数r加密：c=</w:t>
      </w:r>
      <w:r>
        <w:t>g</w:t>
      </w:r>
      <w:r>
        <w:rPr>
          <w:vertAlign w:val="superscript"/>
        </w:rPr>
        <w:t>m</w:t>
      </w:r>
      <w:r>
        <w:t xml:space="preserve"> </w:t>
      </w:r>
      <w:r>
        <w:t>r</w:t>
      </w:r>
      <w:r>
        <w:rPr>
          <w:vertAlign w:val="superscript"/>
        </w:rPr>
        <w:t>n</w:t>
      </w:r>
      <w:r>
        <w:t xml:space="preserve"> mod n²。私钥可用λ=lcm(p−1,q−1)与μ表示，解密为m=L(</w:t>
      </w:r>
      <w:r>
        <w:t>c</w:t>
      </w:r>
      <w:r>
        <w:rPr>
          <w:vertAlign w:val="superscript"/>
        </w:rPr>
        <w:t>λ</w:t>
      </w:r>
      <w:r>
        <w:t xml:space="preserve"> mod n²)μ mod n，其中L(u)=(u−1)/n；phe实现利用p、q及CRT加速[2]。</w:t>
      </w:r>
    </w:p>
    <w:p>
      <w:pPr>
        <w:pStyle w:val="ReportBody"/>
      </w:pPr>
      <w:r>
        <w:t>同态关系为E(a;r₁)E(b;r₂) mod n² = E((a+b) mod n;r₁r₂ mod n)。单选编码为独热向量，服务器对每个选项分别累乘密文，得到计数之和的加密形式。人数上限10000远小于2048位n，因此正常计数不会模n回绕。服务器计算列乘积无需解密。</w:t>
      </w:r>
    </w:p>
    <w:p>
      <w:pPr>
        <w:pStyle w:val="ReportH2"/>
      </w:pPr>
      <w:r>
        <w:t>3.2 本模块设计</w:t>
      </w:r>
    </w:p>
    <w:p>
      <w:pPr>
        <w:pStyle w:val="ReportBody"/>
      </w:pPr>
      <w:r>
        <w:t>一次登记同时写入密文选票和新的签名清单，成功提交后才返回签名回执。管理员关闭与投票登记使用同一事务机制，避免关闭状态和接收记录交叉。客户端断线后可重新查询本人回执。服务器重启时先核验数据库中的清单与选票，发现篡改即拒绝正常服务。普通投票凭证不能关闭轮次或发布结果。</w:t>
      </w:r>
    </w:p>
    <w:p>
      <w:pPr>
        <w:pStyle w:val="ReportH2"/>
      </w:pPr>
      <w:r>
        <w:t>3.3 验证与失败处理</w:t>
      </w:r>
    </w:p>
    <w:p>
      <w:pPr>
        <w:pStyle w:val="ReportBody"/>
      </w:pPr>
      <w:r>
        <w:t>票码使用系统随机数生成并在服务器仅保存SHA-256摘要。TLS证书指纹固定在凭证中，客户端先验指纹后发送票码。接收端检查字段、轮次、ID、密文维度与合法密文空间；关闭与登记在SQLite事务内处理。保管端结果绑定完整汇总摘要，服务器和客户端分别核验Ed25519签名[3]。</w:t>
      </w:r>
    </w:p>
    <w:p>
      <w:pPr>
        <w:pStyle w:val="ReportH2"/>
      </w:pPr>
      <w:r>
        <w:t>3.4 模块程序流程图设计</w:t>
      </w:r>
    </w:p>
    <w:p>
      <w:pPr>
        <w:pStyle w:val="ReportCaption"/>
        <w:keepNext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图1 本模块处理流程及失败出口</w:t>
      </w:r>
    </w:p>
    <w:p>
      <w:pPr>
        <w:pStyle w:val="ReportH2"/>
      </w:pPr>
      <w:r>
        <w:t>3.5 模块界面与角色隔离</w:t>
      </w:r>
    </w:p>
    <w:p>
      <w:pPr>
        <w:pStyle w:val="ReportCaption"/>
        <w:keepNext/>
      </w:pPr>
      <w:r>
        <w:drawing>
          <wp:inline xmlns:a="http://schemas.openxmlformats.org/drawingml/2006/main" xmlns:pic="http://schemas.openxmlformats.org/drawingml/2006/picture">
            <wp:extent cx="5760000" cy="41431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3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图2 管理员使用独立凭证连接同一服务器</w:t>
      </w:r>
    </w:p>
    <w:p>
      <w:pPr>
        <w:pStyle w:val="ReportBody"/>
      </w:pPr>
      <w:r>
        <w:t>图2来自本轮Windows原生Qt实际运行。投票人和管理员导入不同凭证，连接同一端口后得到各自权限。实际部署只向服务器复制server目录，保管端通过公开汇总文件与签名结果文件交接；同机测试使用独立目录和进程，不能声称已建立物理隔离。</w:t>
      </w:r>
    </w:p>
    <w:p>
      <w:pPr>
        <w:pStyle w:val="ReportH1"/>
      </w:pPr>
      <w:r>
        <w:t>四、部分核心代码</w:t>
      </w:r>
    </w:p>
    <w:p>
      <w:pPr>
        <w:pStyle w:val="ReportH2"/>
      </w:pPr>
      <w:r>
        <w:t>4.1 核心实现片段</w:t>
      </w:r>
    </w:p>
    <w:p>
      <w:pPr>
        <w:pStyle w:val="ReportBody"/>
        <w:keepNext/>
      </w:pPr>
      <w:r>
        <w:t>以下片段摘自network_store.py中transaction上下文管理器，按版面折行；accept在此事务内完成检查与两项写入。完整异常处理和调用上下文以源码为准。</w:t>
      </w:r>
    </w:p>
    <w:p>
      <w:pPr>
        <w:pStyle w:val="ReportCode"/>
        <w:keepLines/>
      </w:pPr>
      <w:r>
        <w:rPr>
          <w:rFonts w:ascii="Consolas" w:hAnsi="Consolas" w:eastAsia="新宋体"/>
          <w:b w:val="0"/>
          <w:color w:val="000000"/>
          <w:sz w:val="20"/>
        </w:rPr>
        <w:t>db = sqlite3.connect(</w:t>
        <w:br/>
        <w:t xml:space="preserve">    self.root/'votes.sqlite3', timeout=15,</w:t>
        <w:br/>
        <w:t xml:space="preserve">    isolation_level=None)</w:t>
        <w:br/>
        <w:t>try:</w:t>
        <w:br/>
        <w:t xml:space="preserve">    db.execute('BEGIN IMMEDIATE' if write else 'BEGIN')</w:t>
        <w:br/>
        <w:t xml:space="preserve">    yield db</w:t>
        <w:br/>
        <w:t xml:space="preserve">    db.commit()</w:t>
        <w:br/>
        <w:t>except Exception:</w:t>
        <w:br/>
        <w:t xml:space="preserve">    db.rollback()</w:t>
        <w:br/>
        <w:t xml:space="preserve">    raise</w:t>
        <w:br/>
        <w:t>finally:</w:t>
        <w:br/>
        <w:t xml:space="preserve">    db.close()</w:t>
      </w:r>
    </w:p>
    <w:p>
      <w:pPr>
        <w:pStyle w:val="ReportH2"/>
      </w:pPr>
      <w:r>
        <w:t>4.2 可重复实验步骤</w:t>
      </w:r>
    </w:p>
    <w:p>
      <w:pPr>
        <w:pStyle w:val="ReportBody"/>
      </w:pPr>
      <w:r>
        <w:t>1．按照README安装依赖，在保管者电脑运行init生成新轮次。分发server目录、各人凭证；保留trustee目录和口令。</w:t>
      </w:r>
    </w:p>
    <w:p>
      <w:pPr>
        <w:pStyle w:val="ReportBody"/>
      </w:pPr>
      <w:r>
        <w:t>2．服务器运行serve指定目录、监听IP和端口。客户端启动默认界面，填写服务器IPv4地址和端口，导入本人凭证并连接。本机多端使用127.0.0.1。</w:t>
      </w:r>
    </w:p>
    <w:p>
      <w:pPr>
        <w:pStyle w:val="ReportBody"/>
      </w:pPr>
      <w:r>
        <w:t>3．使用不同ID依次或同时投票，记录纸面预期计数。重复ID、名单冒用和错误指纹应被拒绝，关闭前不能导出汇总。</w:t>
      </w:r>
    </w:p>
    <w:p>
      <w:pPr>
        <w:pStyle w:val="ReportBody"/>
      </w:pPr>
      <w:r>
        <w:t>4．管理员关闭并导出密文汇总；保管端运行decrypt，输入本地口令，产生签名总票；管理员发布后，各端刷新核对结果。</w:t>
      </w:r>
    </w:p>
    <w:p>
      <w:pPr>
        <w:pStyle w:val="ReportBody"/>
      </w:pPr>
      <w:r>
        <w:t>5．重新连接检查回执，重启服务器检查状态；再初始化不同人数和选项的新轮次。跨电脑时核对防火墙与网络互通，现场结果单独记录。</w:t>
      </w:r>
    </w:p>
    <w:p>
      <w:pPr>
        <w:pStyle w:val="ReportH1"/>
      </w:pPr>
      <w:r>
        <w:t>五、课题完成过程中遇到的问题及解决方法</w:t>
      </w:r>
    </w:p>
    <w:p>
      <w:pPr>
        <w:pStyle w:val="ReportH2"/>
      </w:pPr>
      <w:r>
        <w:t>5.1 原实现问题与本轮修正</w:t>
      </w:r>
    </w:p>
    <w:p>
      <w:pPr>
        <w:pStyle w:val="ReportBody"/>
      </w:pPr>
      <w:r>
        <w:t>真实并发会暴露“先检查再写入”的竞态，不能只依赖界面禁用按钮。本轮用8个TLS客户端同时使用同一ID提交，实测只接受1次、其余7次收到冲突拒绝。首次测试还发现SQLite连接的with块只提交事务、不会关闭连接，导致Windows清理测试目录失败；补充显式关闭后全部回归通过。</w:t>
      </w:r>
    </w:p>
    <w:p>
      <w:pPr>
        <w:pStyle w:val="ReportBody"/>
      </w:pPr>
      <w:r>
        <w:t>单机阶段已有真实密码学运算，但没有网络收票服务器，因此原整体完成判断不充分。本次把联网架构作为主要实现，原单机入口仅保留为算法实验。实验记录和报告分别标注所属阶段，避免用旧单机测试证明多端可用。</w:t>
      </w:r>
    </w:p>
    <w:p>
      <w:pPr>
        <w:pStyle w:val="ReportH2"/>
      </w:pPr>
      <w:r>
        <w:t>5.2 实验环境与结果</w:t>
      </w:r>
    </w:p>
    <w:p>
      <w:pPr>
        <w:pStyle w:val="ReportBody"/>
      </w:pPr>
      <w:r>
        <w:t>本轮日期为2026年10月27日（北京时间），Windows 11 x64、Python 3.12.14，phe 1.5.0、gmpy2 2.3.2、cryptography 50.0.2、PySide6-Essentials 6.12.0。端到端验收采用2048位Paillier；18项联网边界测试使用1024位密钥加速，不作为安全强度示范。另有9项既有工程回归。</w:t>
      </w:r>
    </w:p>
    <w:p>
      <w:pPr>
        <w:pStyle w:val="ReportCaption"/>
        <w:keepNext/>
      </w:pPr>
      <w:r>
        <w:t>表2 联网与交互验证结果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shd w:fill="E8EEF3"/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009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shd w:fill="E8EEF3"/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实际结果</w:t>
            </w:r>
          </w:p>
        </w:tc>
      </w:tr>
      <w:tr>
        <w:tc>
          <w:tcPr>
            <w:tcW w:type="dxa" w:w="28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TLS与权限、事务、完整性</w:t>
            </w:r>
          </w:p>
        </w:tc>
        <w:tc>
          <w:tcPr>
            <w:tcW w:type="dxa" w:w="6009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18项联网测试＋9项回归全部通过</w:t>
            </w:r>
          </w:p>
        </w:tc>
      </w:tr>
      <w:tr>
        <w:tc>
          <w:tcPr>
            <w:tcW w:type="dxa" w:w="28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6个独立客户端进程</w:t>
            </w:r>
          </w:p>
        </w:tc>
        <w:tc>
          <w:tcPr>
            <w:tcW w:type="dxa" w:w="6009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实际连接同一TLS端口，6票结果[3,2,1]</w:t>
            </w:r>
          </w:p>
        </w:tc>
      </w:tr>
      <w:tr>
        <w:tc>
          <w:tcPr>
            <w:tcW w:type="dxa" w:w="28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同一ID并发8次</w:t>
            </w:r>
          </w:p>
        </w:tc>
        <w:tc>
          <w:tcPr>
            <w:tcW w:type="dxa" w:w="6009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只接受1次，其余7次拒绝</w:t>
            </w:r>
          </w:p>
        </w:tc>
      </w:tr>
      <w:tr>
        <w:tc>
          <w:tcPr>
            <w:tcW w:type="dxa" w:w="28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凭证冒用、错误指纹</w:t>
            </w:r>
          </w:p>
        </w:tc>
        <w:tc>
          <w:tcPr>
            <w:tcW w:type="dxa" w:w="6009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被拒绝；指纹失败时未发送票码</w:t>
            </w:r>
          </w:p>
        </w:tc>
      </w:tr>
      <w:tr>
        <w:tc>
          <w:tcPr>
            <w:tcW w:type="dxa" w:w="28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错误口令、部分汇总、伪造结果</w:t>
            </w:r>
          </w:p>
        </w:tc>
        <w:tc>
          <w:tcPr>
            <w:tcW w:type="dxa" w:w="6009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被拒绝，不发布错误总票</w:t>
            </w:r>
          </w:p>
        </w:tc>
      </w:tr>
      <w:tr>
        <w:tc>
          <w:tcPr>
            <w:tcW w:type="dxa" w:w="28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两窗口实际Qt控件</w:t>
            </w:r>
          </w:p>
        </w:tc>
        <w:tc>
          <w:tcPr>
            <w:tcW w:type="dxa" w:w="6009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6次投票，回执与公开结果验签通过</w:t>
            </w:r>
          </w:p>
        </w:tc>
      </w:tr>
      <w:tr>
        <w:tc>
          <w:tcPr>
            <w:tcW w:type="dxa" w:w="2835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服务重启</w:t>
            </w:r>
          </w:p>
        </w:tc>
        <w:tc>
          <w:tcPr>
            <w:tcW w:type="dxa" w:w="6009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已关闭状态和已发布结果保持一致</w:t>
            </w:r>
          </w:p>
        </w:tc>
      </w:tr>
    </w:tbl>
    <w:p>
      <w:pPr>
        <w:pStyle w:val="ReportBody"/>
      </w:pPr>
      <w:r>
        <w:t>网络与GUI测试均使用虚拟ID和合成选票，原始证据在evidence/2026-10-27-network/。独立进程验收在一台电脑上通过真实TLS完成，不代表跨物理电脑实测；教师私有数据和现场小改仍待实际验收。</w:t>
      </w:r>
    </w:p>
    <w:p>
      <w:pPr>
        <w:pStyle w:val="ReportH2"/>
      </w:pPr>
      <w:r>
        <w:t>5.3 加密、汇总和解密耗时</w:t>
      </w:r>
    </w:p>
    <w:p>
      <w:pPr>
        <w:pStyle w:val="ReportCaption"/>
        <w:keepNext/>
      </w:pPr>
      <w:r>
        <w:t>表3 本轮六端并发实测（毫秒）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6520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shd w:fill="E8EEF3"/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测量范围</w:t>
            </w:r>
          </w:p>
        </w:tc>
        <w:tc>
          <w:tcPr>
            <w:tcW w:type="dxa" w:w="232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shd w:fill="E8EEF3"/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</w:tr>
      <w:tr>
        <w:tc>
          <w:tcPr>
            <w:tcW w:type="dxa" w:w="6520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每端一票的本地加密，六端算术均值</w:t>
            </w:r>
          </w:p>
        </w:tc>
        <w:tc>
          <w:tcPr>
            <w:tcW w:type="dxa" w:w="232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19.34</w:t>
            </w:r>
          </w:p>
        </w:tc>
      </w:tr>
      <w:tr>
        <w:tc>
          <w:tcPr>
            <w:tcW w:type="dxa" w:w="6520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提交密文至收到回执，六端均值</w:t>
            </w:r>
          </w:p>
        </w:tc>
        <w:tc>
          <w:tcPr>
            <w:tcW w:type="dxa" w:w="232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151.91</w:t>
            </w:r>
          </w:p>
        </w:tc>
      </w:tr>
      <w:tr>
        <w:tc>
          <w:tcPr>
            <w:tcW w:type="dxa" w:w="6520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服务器6票列乘积（不含审计）</w:t>
            </w:r>
          </w:p>
        </w:tc>
        <w:tc>
          <w:tcPr>
            <w:tcW w:type="dxa" w:w="232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0.59</w:t>
            </w:r>
          </w:p>
        </w:tc>
      </w:tr>
      <w:tr>
        <w:tc>
          <w:tcPr>
            <w:tcW w:type="dxa" w:w="6520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保管端3列总票解密</w:t>
            </w:r>
          </w:p>
        </w:tc>
        <w:tc>
          <w:tcPr>
            <w:tcW w:type="dxa" w:w="232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5.16</w:t>
            </w:r>
          </w:p>
        </w:tc>
      </w:tr>
    </w:tbl>
    <w:p>
      <w:pPr>
        <w:pStyle w:val="ReportBody"/>
      </w:pPr>
      <w:r>
        <w:t>加密计时包含独热向量构造与三分量随机加密，提交往返包含TLS、服务器事务和响应；汇总与解密计时只覆盖各自运算。六端在同一机器并发，包含CPU竞争；不能把一次运行当作网络部署性能保证。逐端原始值、进程耗时与源码哈希均保存在network-processes.json。</w:t>
      </w:r>
    </w:p>
    <w:p>
      <w:pPr>
        <w:pStyle w:val="ReportCaption"/>
        <w:keepNext/>
      </w:pPr>
      <w:r>
        <w:t>表4 历史原语性能对照（各三次均值，毫秒）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1361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shd w:fill="E8EEF3"/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人数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shd w:fill="E8EEF3"/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加密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shd w:fill="E8EEF3"/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汇总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  <w:shd w:fill="E8EEF3"/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解密</w:t>
            </w:r>
          </w:p>
        </w:tc>
      </w:tr>
      <w:tr>
        <w:tc>
          <w:tcPr>
            <w:tcW w:type="dxa" w:w="1361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538.06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1.21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16.72</w:t>
            </w:r>
          </w:p>
        </w:tc>
      </w:tr>
      <w:tr>
        <w:tc>
          <w:tcPr>
            <w:tcW w:type="dxa" w:w="1361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5345.25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16.13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19.20</w:t>
            </w:r>
          </w:p>
        </w:tc>
      </w:tr>
      <w:tr>
        <w:tc>
          <w:tcPr>
            <w:tcW w:type="dxa" w:w="1361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1000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46302.62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110.80</w:t>
            </w:r>
          </w:p>
        </w:tc>
        <w:tc>
          <w:tcPr>
            <w:tcW w:type="dxa" w:w="2494"/>
            <w:tcBorders>
              <w:top w:val="single" w:sz="4" w:color="C9D4DF"/>
              <w:left w:val="single" w:sz="4" w:color="C9D4DF"/>
              <w:bottom w:val="single" w:sz="4" w:color="C9D4DF"/>
              <w:right w:val="single" w:sz="4" w:color="C9D4DF"/>
            </w:tcBorders>
          </w:tcPr>
          <w:p>
            <w:pPr>
              <w:spacing w:line="288" w:lineRule="auto" w:before="60" w:after="6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11.96</w:t>
            </w:r>
          </w:p>
        </w:tc>
      </w:tr>
    </w:tbl>
    <w:p>
      <w:pPr>
        <w:pStyle w:val="ReportBody"/>
      </w:pPr>
      <w:r>
        <w:t>表4来自本次架构修正前保留的完整原语实验evidence/2026-10-27/full/，仅作规模对照。它不包含联网、事务和TLS开销，也不是重新执行的联网千人测试；原始运行环境和哈希在其JSON中保留。</w:t>
      </w:r>
    </w:p>
    <w:p>
      <w:pPr>
        <w:pStyle w:val="ReportH2"/>
      </w:pPr>
      <w:r>
        <w:t>5.4 失败、误报与安全局限</w:t>
      </w:r>
    </w:p>
    <w:p>
      <w:pPr>
        <w:pStyle w:val="ReportBody"/>
      </w:pPr>
      <w:r>
        <w:t>文件损坏、网络断开、错误凭证与攻击可能出现相似提示，程序只报告可验证的失败原因。数据库内容与签名不一致时拒绝继续；连接中断时通过回执确认是否已接收，而不是直接重新计票。首次打包复测发现Windows重定向输出使用GBK，已统一管道输出UTF-8，再通过实际EXE进程验证。</w:t>
      </w:r>
    </w:p>
    <w:p>
      <w:pPr>
        <w:pStyle w:val="ReportBody"/>
      </w:pPr>
      <w:r>
        <w:t>未实现逐票独热零知识证明，[2,0]与[0,0]等非法组合可能仍满足总票数约束。单人结果会暴露选择。一次批准只限制同轮重复解密不同集合；若恶意服务器重新签署删票集合，首次集合是否完整仍需独立回执或外部见证，不能只靠服务器自己的签名。</w:t>
      </w:r>
    </w:p>
    <w:p>
      <w:pPr>
        <w:pStyle w:val="ReportH1"/>
      </w:pPr>
      <w:r>
        <w:t>六、总结</w:t>
      </w:r>
    </w:p>
    <w:p>
      <w:pPr>
        <w:pStyle w:val="ReportBody"/>
      </w:pPr>
      <w:r>
        <w:t>本模块把实验算法组织为可连接的局域网服务，并用事务、凭证权限和签名回执处理多端协作。当前已完成同机真实网络与多进程验证；跨物理电脑仍需核验网络互通和防火墙设置，不能以本机测试代替。</w:t>
      </w:r>
    </w:p>
    <w:p>
      <w:pPr>
        <w:pStyle w:val="ReportH2"/>
      </w:pPr>
      <w:r>
        <w:t>6.1 威胁模型与后续改进</w:t>
      </w:r>
    </w:p>
    <w:p>
      <w:pPr>
        <w:pStyle w:val="ReportBody"/>
      </w:pPr>
      <w:r>
        <w:t>主要模型是服务器按协议收票与汇总、但可能试图了解个人选择；在Paillier私钥留在可信保管端、客户端可信的条件下，服务器无法直接解密单票。该模型不覆盖客户端中毒、私钥泄露、组织者错误分发凭证或服务器与保管者串通。后续可增加独热证明、门限解密、独立透明日志、凭证撤销与抗拒绝服务措施。</w:t>
      </w:r>
    </w:p>
    <w:p>
      <w:pPr>
        <w:pStyle w:val="ReportH2"/>
      </w:pPr>
      <w:r>
        <w:t>6.2 分工验收与个人复核</w:t>
      </w:r>
    </w:p>
    <w:p>
      <w:pPr>
        <w:pStyle w:val="ReportBody"/>
      </w:pPr>
      <w:r>
        <w:t>文件锁为何不足以处理多端投票？检查重复与登记为何必须在同一事务内？连接中断后怎样确认选票是否收到？证书指纹错误时是否已经发送票码？</w:t>
      </w:r>
    </w:p>
    <w:p>
      <w:pPr>
        <w:pStyle w:val="ReportBody"/>
      </w:pPr>
      <w:r>
        <w:t>成员应在自己的电脑复跑相关实验，补全姓名学号、实际贡献与本人修改记录，并现场解释代码、完成教师要求的小改。当前分工是模块划分，不代替个人完成证明。</w:t>
      </w:r>
    </w:p>
    <w:p>
      <w:pPr>
        <w:pStyle w:val="ReportH2"/>
      </w:pPr>
      <w:r>
        <w:t>6.3 AI使用声明</w:t>
      </w:r>
    </w:p>
    <w:p>
      <w:pPr>
        <w:pStyle w:val="ReportBody"/>
      </w:pPr>
      <w:r>
        <w:t>本项目使用OpenAI Codex辅助需求对照、代码与界面实现、联网架构修正、测试执行、报告修订及Git提交。测试数据来自实际运行的合成选票，AI参与范围详见根目录AI使用声明.txt；教师评分、签名和个人复核记录由实际参与者填写。</w:t>
      </w:r>
    </w:p>
    <w:p>
      <w:pPr>
        <w:pStyle w:val="ReportH2"/>
      </w:pPr>
      <w:r>
        <w:t>参考资料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[1] 专业课程设计任务书，B230414，2026—2027学年第一学期。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[2] python-paillier API. https://python-paillier.readthedocs.io/en/stable/phe.html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[3] Cryptography Ed25519. https://cryptography.io/en/latest/hazmat/primitives/asymmetric/ed25519/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[4] Python sqlite3. https://docs.python.org/3/library/sqlite3.html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[5] Python ssl. https://docs.python.org/3/library/ssl.html</w:t>
      </w:r>
    </w:p>
    <w:sectPr>
      <w:footerReference r:id="rId3" w:type="default"/>
      <w:pgSz w:w="11906" w:h="16838"/>
      <w:pgMar w:top="1418" w:right="1134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C7AAE">
    <w:pPr>
      <w:pStyle w:val="8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574762"/>
    <w:multiLevelType w:val="singleLevel"/>
    <w:tmpl w:val="06574762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cyYjBkN2E4YjIxNzNkNWExMzU0OWMxMDQ1NGNlNDUifQ=="/>
  </w:docVars>
  <w:rsids>
    <w:rsidRoot w:val="00172A27"/>
    <w:rsid w:val="00001145"/>
    <w:rsid w:val="000012C5"/>
    <w:rsid w:val="000111B1"/>
    <w:rsid w:val="00015F0A"/>
    <w:rsid w:val="00016D54"/>
    <w:rsid w:val="00022EF6"/>
    <w:rsid w:val="00035D80"/>
    <w:rsid w:val="000428BC"/>
    <w:rsid w:val="000515C9"/>
    <w:rsid w:val="00055E2A"/>
    <w:rsid w:val="00060EA9"/>
    <w:rsid w:val="000647CB"/>
    <w:rsid w:val="0007682E"/>
    <w:rsid w:val="00091A56"/>
    <w:rsid w:val="00094C74"/>
    <w:rsid w:val="000A57D7"/>
    <w:rsid w:val="000C452C"/>
    <w:rsid w:val="000C61FE"/>
    <w:rsid w:val="000D2703"/>
    <w:rsid w:val="000D3691"/>
    <w:rsid w:val="000D5128"/>
    <w:rsid w:val="000D58E1"/>
    <w:rsid w:val="000F1F10"/>
    <w:rsid w:val="001271A5"/>
    <w:rsid w:val="00130DB3"/>
    <w:rsid w:val="001454FD"/>
    <w:rsid w:val="00147349"/>
    <w:rsid w:val="001513C2"/>
    <w:rsid w:val="00153305"/>
    <w:rsid w:val="00172A27"/>
    <w:rsid w:val="00173AB9"/>
    <w:rsid w:val="001858EA"/>
    <w:rsid w:val="00186316"/>
    <w:rsid w:val="001915DA"/>
    <w:rsid w:val="001A3163"/>
    <w:rsid w:val="001A38D4"/>
    <w:rsid w:val="001A4666"/>
    <w:rsid w:val="001A5B5F"/>
    <w:rsid w:val="001A703E"/>
    <w:rsid w:val="001A7BEC"/>
    <w:rsid w:val="001C554F"/>
    <w:rsid w:val="001C74EC"/>
    <w:rsid w:val="001C77AB"/>
    <w:rsid w:val="001D41DC"/>
    <w:rsid w:val="001D5117"/>
    <w:rsid w:val="001D59FB"/>
    <w:rsid w:val="001E0887"/>
    <w:rsid w:val="001E1022"/>
    <w:rsid w:val="001E560E"/>
    <w:rsid w:val="001E613B"/>
    <w:rsid w:val="00203AE8"/>
    <w:rsid w:val="00214C6E"/>
    <w:rsid w:val="00221345"/>
    <w:rsid w:val="0023176C"/>
    <w:rsid w:val="002325CC"/>
    <w:rsid w:val="00236021"/>
    <w:rsid w:val="0025593A"/>
    <w:rsid w:val="002736C7"/>
    <w:rsid w:val="002771EA"/>
    <w:rsid w:val="00282906"/>
    <w:rsid w:val="00285955"/>
    <w:rsid w:val="00292F11"/>
    <w:rsid w:val="002C0BFF"/>
    <w:rsid w:val="002D2DD9"/>
    <w:rsid w:val="002D50DA"/>
    <w:rsid w:val="002E4431"/>
    <w:rsid w:val="002E6FF6"/>
    <w:rsid w:val="002F0678"/>
    <w:rsid w:val="002F1BA6"/>
    <w:rsid w:val="002F384C"/>
    <w:rsid w:val="002F7F26"/>
    <w:rsid w:val="00305805"/>
    <w:rsid w:val="00312A04"/>
    <w:rsid w:val="0031322C"/>
    <w:rsid w:val="00317AC6"/>
    <w:rsid w:val="0032697C"/>
    <w:rsid w:val="003468F8"/>
    <w:rsid w:val="00353F64"/>
    <w:rsid w:val="00354B4E"/>
    <w:rsid w:val="00360CEC"/>
    <w:rsid w:val="00361DD3"/>
    <w:rsid w:val="00361E15"/>
    <w:rsid w:val="003702E7"/>
    <w:rsid w:val="00380EE9"/>
    <w:rsid w:val="00385AF8"/>
    <w:rsid w:val="00387948"/>
    <w:rsid w:val="00390815"/>
    <w:rsid w:val="003B200E"/>
    <w:rsid w:val="003B4461"/>
    <w:rsid w:val="003C3BB5"/>
    <w:rsid w:val="003C5F2F"/>
    <w:rsid w:val="003D0034"/>
    <w:rsid w:val="003E643E"/>
    <w:rsid w:val="0040000F"/>
    <w:rsid w:val="004056DB"/>
    <w:rsid w:val="004118D4"/>
    <w:rsid w:val="00413988"/>
    <w:rsid w:val="00437DD8"/>
    <w:rsid w:val="004634D7"/>
    <w:rsid w:val="00477E5B"/>
    <w:rsid w:val="00482938"/>
    <w:rsid w:val="004A320E"/>
    <w:rsid w:val="004B127B"/>
    <w:rsid w:val="004B2EB3"/>
    <w:rsid w:val="004B5D6A"/>
    <w:rsid w:val="004D7DEC"/>
    <w:rsid w:val="004E24BB"/>
    <w:rsid w:val="004E69F8"/>
    <w:rsid w:val="0050796A"/>
    <w:rsid w:val="005254FB"/>
    <w:rsid w:val="00525B09"/>
    <w:rsid w:val="00530465"/>
    <w:rsid w:val="00532940"/>
    <w:rsid w:val="00540F66"/>
    <w:rsid w:val="00543144"/>
    <w:rsid w:val="00544AF3"/>
    <w:rsid w:val="005535FF"/>
    <w:rsid w:val="00555869"/>
    <w:rsid w:val="005558F6"/>
    <w:rsid w:val="0057212C"/>
    <w:rsid w:val="00572518"/>
    <w:rsid w:val="00572C59"/>
    <w:rsid w:val="00572C74"/>
    <w:rsid w:val="005762D0"/>
    <w:rsid w:val="00582130"/>
    <w:rsid w:val="0058560B"/>
    <w:rsid w:val="00585BC0"/>
    <w:rsid w:val="005879E7"/>
    <w:rsid w:val="00587F05"/>
    <w:rsid w:val="005A40FF"/>
    <w:rsid w:val="005A6514"/>
    <w:rsid w:val="005A7052"/>
    <w:rsid w:val="005B1197"/>
    <w:rsid w:val="005B370B"/>
    <w:rsid w:val="005C1814"/>
    <w:rsid w:val="005C1BDF"/>
    <w:rsid w:val="005C4162"/>
    <w:rsid w:val="005C6A4B"/>
    <w:rsid w:val="005C6C72"/>
    <w:rsid w:val="005F329F"/>
    <w:rsid w:val="005F6A46"/>
    <w:rsid w:val="00600141"/>
    <w:rsid w:val="00601ABA"/>
    <w:rsid w:val="00615FDC"/>
    <w:rsid w:val="00627E68"/>
    <w:rsid w:val="0064160B"/>
    <w:rsid w:val="006447DD"/>
    <w:rsid w:val="006466A1"/>
    <w:rsid w:val="00651047"/>
    <w:rsid w:val="00652222"/>
    <w:rsid w:val="00654E62"/>
    <w:rsid w:val="00664A7C"/>
    <w:rsid w:val="0068603B"/>
    <w:rsid w:val="00691F97"/>
    <w:rsid w:val="006966E1"/>
    <w:rsid w:val="006B25C0"/>
    <w:rsid w:val="006B60C8"/>
    <w:rsid w:val="006B72DC"/>
    <w:rsid w:val="006C3632"/>
    <w:rsid w:val="006C382F"/>
    <w:rsid w:val="006E6893"/>
    <w:rsid w:val="006F6AC0"/>
    <w:rsid w:val="00711091"/>
    <w:rsid w:val="0071249C"/>
    <w:rsid w:val="00714026"/>
    <w:rsid w:val="007217C5"/>
    <w:rsid w:val="0072393F"/>
    <w:rsid w:val="007273A5"/>
    <w:rsid w:val="00730A71"/>
    <w:rsid w:val="0073615F"/>
    <w:rsid w:val="00737C9C"/>
    <w:rsid w:val="00757ED5"/>
    <w:rsid w:val="00761A96"/>
    <w:rsid w:val="00791919"/>
    <w:rsid w:val="00793E7B"/>
    <w:rsid w:val="007A29A0"/>
    <w:rsid w:val="007B1F5A"/>
    <w:rsid w:val="007D348A"/>
    <w:rsid w:val="007E461B"/>
    <w:rsid w:val="007E7911"/>
    <w:rsid w:val="00815533"/>
    <w:rsid w:val="00815DEC"/>
    <w:rsid w:val="00817717"/>
    <w:rsid w:val="0082400B"/>
    <w:rsid w:val="00824BC5"/>
    <w:rsid w:val="00830015"/>
    <w:rsid w:val="008402E0"/>
    <w:rsid w:val="00842AA1"/>
    <w:rsid w:val="0084372F"/>
    <w:rsid w:val="008545C3"/>
    <w:rsid w:val="00863740"/>
    <w:rsid w:val="00864F9C"/>
    <w:rsid w:val="008A2A9A"/>
    <w:rsid w:val="008A3757"/>
    <w:rsid w:val="008A7EE1"/>
    <w:rsid w:val="008B1A7E"/>
    <w:rsid w:val="008C4B2F"/>
    <w:rsid w:val="008C4F76"/>
    <w:rsid w:val="008D6766"/>
    <w:rsid w:val="008F5E55"/>
    <w:rsid w:val="008F66FC"/>
    <w:rsid w:val="009102BA"/>
    <w:rsid w:val="009175D6"/>
    <w:rsid w:val="009202C6"/>
    <w:rsid w:val="00926387"/>
    <w:rsid w:val="00927EA7"/>
    <w:rsid w:val="00935C66"/>
    <w:rsid w:val="00953C11"/>
    <w:rsid w:val="00967ED6"/>
    <w:rsid w:val="00973234"/>
    <w:rsid w:val="009946A5"/>
    <w:rsid w:val="009966AE"/>
    <w:rsid w:val="009B1AFB"/>
    <w:rsid w:val="009B7114"/>
    <w:rsid w:val="009C14C8"/>
    <w:rsid w:val="009C2D9E"/>
    <w:rsid w:val="009D2A11"/>
    <w:rsid w:val="009E3C8A"/>
    <w:rsid w:val="009E644B"/>
    <w:rsid w:val="009F7BC9"/>
    <w:rsid w:val="00A15EA1"/>
    <w:rsid w:val="00A26567"/>
    <w:rsid w:val="00A51DF8"/>
    <w:rsid w:val="00A543FC"/>
    <w:rsid w:val="00A61F7A"/>
    <w:rsid w:val="00A72299"/>
    <w:rsid w:val="00A91015"/>
    <w:rsid w:val="00A939E7"/>
    <w:rsid w:val="00AA6A4F"/>
    <w:rsid w:val="00AB1BC0"/>
    <w:rsid w:val="00AB2A16"/>
    <w:rsid w:val="00AB5F56"/>
    <w:rsid w:val="00AB66DC"/>
    <w:rsid w:val="00AB6FF4"/>
    <w:rsid w:val="00AB7839"/>
    <w:rsid w:val="00AB78BB"/>
    <w:rsid w:val="00AC0CC1"/>
    <w:rsid w:val="00AD1689"/>
    <w:rsid w:val="00B0071F"/>
    <w:rsid w:val="00B35C74"/>
    <w:rsid w:val="00B41FAA"/>
    <w:rsid w:val="00B447EB"/>
    <w:rsid w:val="00B44A4B"/>
    <w:rsid w:val="00B471A0"/>
    <w:rsid w:val="00B60E78"/>
    <w:rsid w:val="00B62E35"/>
    <w:rsid w:val="00B72D95"/>
    <w:rsid w:val="00B746B7"/>
    <w:rsid w:val="00B758D9"/>
    <w:rsid w:val="00B7603B"/>
    <w:rsid w:val="00B77838"/>
    <w:rsid w:val="00B91130"/>
    <w:rsid w:val="00B92F4A"/>
    <w:rsid w:val="00BA0563"/>
    <w:rsid w:val="00BA7AD9"/>
    <w:rsid w:val="00BC5B68"/>
    <w:rsid w:val="00BD1809"/>
    <w:rsid w:val="00BD257C"/>
    <w:rsid w:val="00BD64FA"/>
    <w:rsid w:val="00BE078E"/>
    <w:rsid w:val="00C24C1B"/>
    <w:rsid w:val="00C25AF5"/>
    <w:rsid w:val="00C33A55"/>
    <w:rsid w:val="00C36470"/>
    <w:rsid w:val="00C366D8"/>
    <w:rsid w:val="00C5556F"/>
    <w:rsid w:val="00C5673C"/>
    <w:rsid w:val="00C57D9C"/>
    <w:rsid w:val="00C6144F"/>
    <w:rsid w:val="00C6235C"/>
    <w:rsid w:val="00C73110"/>
    <w:rsid w:val="00C90159"/>
    <w:rsid w:val="00C93ADB"/>
    <w:rsid w:val="00CC1AEF"/>
    <w:rsid w:val="00CD1E5B"/>
    <w:rsid w:val="00CD1F0B"/>
    <w:rsid w:val="00CE4437"/>
    <w:rsid w:val="00CF00DD"/>
    <w:rsid w:val="00D00726"/>
    <w:rsid w:val="00D047C1"/>
    <w:rsid w:val="00D06181"/>
    <w:rsid w:val="00D25A32"/>
    <w:rsid w:val="00D26C11"/>
    <w:rsid w:val="00D32511"/>
    <w:rsid w:val="00D4193F"/>
    <w:rsid w:val="00D455AD"/>
    <w:rsid w:val="00D46041"/>
    <w:rsid w:val="00D5525A"/>
    <w:rsid w:val="00D55C4C"/>
    <w:rsid w:val="00D61928"/>
    <w:rsid w:val="00D677E4"/>
    <w:rsid w:val="00D7665F"/>
    <w:rsid w:val="00D84FA3"/>
    <w:rsid w:val="00D91547"/>
    <w:rsid w:val="00DA22D5"/>
    <w:rsid w:val="00DA5C62"/>
    <w:rsid w:val="00DA7A99"/>
    <w:rsid w:val="00DB271C"/>
    <w:rsid w:val="00DC0585"/>
    <w:rsid w:val="00DD2C1D"/>
    <w:rsid w:val="00DD5370"/>
    <w:rsid w:val="00DD6A7A"/>
    <w:rsid w:val="00DE73CD"/>
    <w:rsid w:val="00DF21F4"/>
    <w:rsid w:val="00E05EDA"/>
    <w:rsid w:val="00E103CA"/>
    <w:rsid w:val="00E11178"/>
    <w:rsid w:val="00E27203"/>
    <w:rsid w:val="00E55E16"/>
    <w:rsid w:val="00E564CA"/>
    <w:rsid w:val="00E60ED0"/>
    <w:rsid w:val="00E6388C"/>
    <w:rsid w:val="00E6393D"/>
    <w:rsid w:val="00E65159"/>
    <w:rsid w:val="00E710C7"/>
    <w:rsid w:val="00E75EED"/>
    <w:rsid w:val="00E976BD"/>
    <w:rsid w:val="00EA0F1C"/>
    <w:rsid w:val="00EA183F"/>
    <w:rsid w:val="00EA478A"/>
    <w:rsid w:val="00EA6DF4"/>
    <w:rsid w:val="00EB4DA5"/>
    <w:rsid w:val="00EC6839"/>
    <w:rsid w:val="00EC68B1"/>
    <w:rsid w:val="00ED1DD1"/>
    <w:rsid w:val="00F03BB7"/>
    <w:rsid w:val="00F0427E"/>
    <w:rsid w:val="00F12714"/>
    <w:rsid w:val="00F14017"/>
    <w:rsid w:val="00F167BF"/>
    <w:rsid w:val="00F22D2F"/>
    <w:rsid w:val="00F32965"/>
    <w:rsid w:val="00F35C57"/>
    <w:rsid w:val="00F36543"/>
    <w:rsid w:val="00F437B9"/>
    <w:rsid w:val="00F54DDD"/>
    <w:rsid w:val="00F55619"/>
    <w:rsid w:val="00F600FF"/>
    <w:rsid w:val="00F63EC1"/>
    <w:rsid w:val="00F67469"/>
    <w:rsid w:val="00F67DF9"/>
    <w:rsid w:val="00F76CFC"/>
    <w:rsid w:val="00F76E39"/>
    <w:rsid w:val="00F830E2"/>
    <w:rsid w:val="00F85589"/>
    <w:rsid w:val="00F86044"/>
    <w:rsid w:val="00FA18BA"/>
    <w:rsid w:val="00FC00B4"/>
    <w:rsid w:val="00FC1102"/>
    <w:rsid w:val="00FC7256"/>
    <w:rsid w:val="00FD209C"/>
    <w:rsid w:val="00FD57E5"/>
    <w:rsid w:val="00FE0F8B"/>
    <w:rsid w:val="00FE1E59"/>
    <w:rsid w:val="00FE6CD7"/>
    <w:rsid w:val="00FF23C5"/>
    <w:rsid w:val="00FF41A3"/>
    <w:rsid w:val="031F4ED0"/>
    <w:rsid w:val="05DB4835"/>
    <w:rsid w:val="06491CCA"/>
    <w:rsid w:val="080745D9"/>
    <w:rsid w:val="092172BF"/>
    <w:rsid w:val="097A35C5"/>
    <w:rsid w:val="0D27197E"/>
    <w:rsid w:val="10E656C0"/>
    <w:rsid w:val="12844928"/>
    <w:rsid w:val="12D97684"/>
    <w:rsid w:val="184D6A75"/>
    <w:rsid w:val="192E7CAA"/>
    <w:rsid w:val="1B3C6908"/>
    <w:rsid w:val="1B7B3712"/>
    <w:rsid w:val="261A5CB1"/>
    <w:rsid w:val="2C5833FC"/>
    <w:rsid w:val="2E332A37"/>
    <w:rsid w:val="2E8957F9"/>
    <w:rsid w:val="329D0B59"/>
    <w:rsid w:val="3BCE1597"/>
    <w:rsid w:val="3D6514BF"/>
    <w:rsid w:val="3F231986"/>
    <w:rsid w:val="42612193"/>
    <w:rsid w:val="42AD6003"/>
    <w:rsid w:val="44597BC7"/>
    <w:rsid w:val="44715C23"/>
    <w:rsid w:val="4F96715E"/>
    <w:rsid w:val="56244A5C"/>
    <w:rsid w:val="56A003B7"/>
    <w:rsid w:val="579E5041"/>
    <w:rsid w:val="594740C8"/>
    <w:rsid w:val="597E190C"/>
    <w:rsid w:val="5A6122B2"/>
    <w:rsid w:val="64C019D5"/>
    <w:rsid w:val="6F5F7B6D"/>
    <w:rsid w:val="73DC40A1"/>
    <w:rsid w:val="74B731AC"/>
    <w:rsid w:val="EFFE9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Courier New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00" w:lineRule="auto"/>
      <w:jc w:val="center"/>
      <w:outlineLvl w:val="0"/>
    </w:pPr>
    <w:rPr>
      <w:rFonts w:ascii="Times New Roman" w:hAnsi="Times New Roman" w:cs="Times New Roman"/>
      <w:b/>
      <w:bCs/>
      <w:sz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annotation text"/>
    <w:basedOn w:val="1"/>
    <w:semiHidden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line="360" w:lineRule="auto"/>
    </w:pPr>
    <w:rPr>
      <w:sz w:val="28"/>
    </w:rPr>
  </w:style>
  <w:style w:type="paragraph" w:styleId="6">
    <w:name w:val="Body Text Indent"/>
    <w:basedOn w:val="1"/>
    <w:qFormat/>
    <w:uiPriority w:val="0"/>
    <w:pPr>
      <w:ind w:firstLine="2325"/>
      <w:jc w:val="center"/>
    </w:pPr>
    <w:rPr>
      <w:rFonts w:ascii="Times New Roman" w:hAnsi="Times New Roman" w:cs="Times New Roman"/>
      <w:sz w:val="21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10">
    <w:name w:val="annotation subject"/>
    <w:basedOn w:val="4"/>
    <w:next w:val="4"/>
    <w:semiHidden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qFormat/>
    <w:uiPriority w:val="0"/>
    <w:rPr>
      <w:sz w:val="21"/>
      <w:szCs w:val="21"/>
    </w:rPr>
  </w:style>
  <w:style w:type="character" w:customStyle="1" w:styleId="15">
    <w:name w:val="dbluetext1"/>
    <w:basedOn w:val="13"/>
    <w:qFormat/>
    <w:uiPriority w:val="0"/>
    <w:rPr>
      <w:rFonts w:hint="default" w:ascii="Arial" w:hAnsi="Arial" w:cs="Arial"/>
      <w:color w:val="003FB2"/>
      <w:sz w:val="13"/>
      <w:szCs w:val="13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ReportTitle">
    <w:name w:val="Report Title"/>
    <w:basedOn w:val="1"/>
    <w:pPr>
      <w:keepNext/>
      <w:widowControl/>
      <w:spacing w:after="60" w:before="120" w:line="360" w:lineRule="auto"/>
      <w:ind w:firstLine="0"/>
    </w:pPr>
    <w:rPr>
      <w:rFonts w:ascii="Times New Roman" w:hAnsi="Times New Roman" w:eastAsia="宋体"/>
      <w:b/>
      <w:sz w:val="32"/>
    </w:rPr>
  </w:style>
  <w:style w:type="paragraph" w:customStyle="1" w:styleId="ReportH1">
    <w:name w:val="Report H1"/>
    <w:basedOn w:val="1"/>
    <w:pPr>
      <w:keepNext/>
      <w:widowControl/>
      <w:spacing w:after="60" w:before="120" w:line="360" w:lineRule="auto"/>
      <w:ind w:firstLine="0"/>
      <w:outlineLvl w:val="0"/>
    </w:pPr>
    <w:rPr>
      <w:rFonts w:ascii="Times New Roman" w:hAnsi="Times New Roman" w:eastAsia="宋体"/>
      <w:b/>
      <w:sz w:val="28"/>
    </w:rPr>
  </w:style>
  <w:style w:type="paragraph" w:customStyle="1" w:styleId="ReportH2">
    <w:name w:val="Report H2"/>
    <w:basedOn w:val="1"/>
    <w:pPr>
      <w:keepNext/>
      <w:widowControl/>
      <w:spacing w:after="60" w:before="120" w:line="360" w:lineRule="auto"/>
      <w:ind w:firstLine="0"/>
      <w:outlineLvl w:val="1"/>
    </w:pPr>
    <w:rPr>
      <w:rFonts w:ascii="Times New Roman" w:hAnsi="Times New Roman" w:eastAsia="宋体"/>
      <w:b/>
      <w:sz w:val="24"/>
    </w:rPr>
  </w:style>
  <w:style w:type="paragraph" w:customStyle="1" w:styleId="ReportBody">
    <w:name w:val="Report Body"/>
    <w:basedOn w:val="1"/>
    <w:pPr>
      <w:keepLines/>
      <w:widowControl/>
      <w:spacing w:after="0" w:before="0" w:line="360" w:lineRule="auto"/>
      <w:ind w:firstLine="480"/>
    </w:pPr>
    <w:rPr>
      <w:rFonts w:ascii="Times New Roman" w:hAnsi="Times New Roman" w:eastAsia="宋体"/>
      <w:b w:val="0"/>
      <w:sz w:val="24"/>
    </w:rPr>
  </w:style>
  <w:style w:type="paragraph" w:customStyle="1" w:styleId="ReportCaption">
    <w:name w:val="Report Caption"/>
    <w:basedOn w:val="1"/>
    <w:pPr>
      <w:widowControl/>
      <w:spacing w:after="120" w:before="0" w:line="360" w:lineRule="auto"/>
      <w:ind w:firstLine="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ReportCode">
    <w:name w:val="Report Code"/>
    <w:basedOn w:val="1"/>
    <w:pPr>
      <w:keepLines/>
      <w:widowControl/>
      <w:spacing w:after="0" w:before="0" w:line="240" w:lineRule="auto"/>
      <w:ind w:left="240" w:firstLine="0"/>
      <w:jc w:val="left"/>
    </w:pPr>
    <w:rPr>
      <w:rFonts w:ascii="Consolas" w:hAnsi="Consolas" w:eastAsia="新宋体"/>
      <w:b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2A7D56-D8A7-45D7-B562-C245C6F835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4</Pages>
  <Words>789</Words>
  <Characters>4500</Characters>
  <Lines>37</Lines>
  <Paragraphs>10</Paragraphs>
  <TotalTime>16</TotalTime>
  <ScaleCrop>false</ScaleCrop>
  <LinksUpToDate>false</LinksUpToDate>
  <CharactersWithSpaces>5279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2022-10-23T19:03:00Z</dcterms:created>
  <dc:creator>朱立华</dc:creator>
  <cp:lastModifiedBy>吴严生</cp:lastModifiedBy>
  <dcterms:modified xsi:type="dcterms:W3CDTF">2026-10-26T08:44:15Z</dcterms:modified>
  <dc:title>程序设计报告封面_06new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9DD1E9AF3D3A4E5FA904EEDE65F3B228</vt:lpwstr>
  </property>
</Properties>
</file>