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43752D">
      <w:pPr>
        <w:tabs>
          <w:tab w:val="left" w:pos="6870"/>
        </w:tabs>
      </w:pPr>
    </w:p>
    <w:p w14:paraId="35F2E9D5">
      <w:pPr>
        <w:tabs>
          <w:tab w:val="left" w:pos="6870"/>
        </w:tabs>
      </w:pPr>
    </w:p>
    <w:p w14:paraId="430169D8">
      <w:pPr>
        <w:tabs>
          <w:tab w:val="left" w:pos="6870"/>
        </w:tabs>
      </w:pPr>
    </w:p>
    <w:p w14:paraId="284658AA">
      <w:pPr>
        <w:tabs>
          <w:tab w:val="left" w:pos="6870"/>
        </w:tabs>
      </w:pPr>
    </w:p>
    <w:p w14:paraId="2DC43964">
      <w:pPr>
        <w:tabs>
          <w:tab w:val="left" w:pos="6870"/>
        </w:tabs>
      </w:pPr>
    </w:p>
    <w:p w14:paraId="5BDA7DAE">
      <w:pPr>
        <w:tabs>
          <w:tab w:val="left" w:pos="6870"/>
        </w:tabs>
      </w:pPr>
    </w:p>
    <w:p w14:paraId="68145992">
      <w:pPr>
        <w:tabs>
          <w:tab w:val="left" w:pos="6870"/>
        </w:tabs>
      </w:pPr>
    </w:p>
    <w:p w14:paraId="6FBD1C50">
      <w:pPr>
        <w:tabs>
          <w:tab w:val="left" w:pos="6870"/>
        </w:tabs>
        <w:jc w:val="center"/>
      </w:pPr>
      <w:r>
        <w:object>
          <v:shape id="_x0000_i1025" o:spt="75" type="#_x0000_t75" style="height:57.6pt;width:235.6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5">
            <o:LockedField>false</o:LockedField>
          </o:OLEObject>
        </w:object>
      </w:r>
    </w:p>
    <w:p w14:paraId="44F426F1">
      <w:pPr>
        <w:tabs>
          <w:tab w:val="left" w:pos="6870"/>
        </w:tabs>
        <w:jc w:val="center"/>
        <w:rPr>
          <w:rFonts w:ascii="Times New Roman" w:hAnsi="Times New Roman" w:eastAsia="黑体" w:cs="Times New Roman"/>
          <w:sz w:val="72"/>
        </w:rPr>
      </w:pPr>
      <w:r>
        <w:rPr>
          <w:rFonts w:hint="eastAsia" w:ascii="黑体" w:eastAsia="黑体"/>
          <w:sz w:val="72"/>
        </w:rPr>
        <w:t>专业课程设计</w:t>
      </w:r>
      <w:r>
        <w:rPr>
          <w:rFonts w:hint="eastAsia" w:ascii="Times New Roman" w:hAnsi="Times New Roman" w:eastAsia="黑体" w:cs="Times New Roman"/>
          <w:sz w:val="72"/>
        </w:rPr>
        <w:t>报告</w:t>
      </w:r>
    </w:p>
    <w:p w14:paraId="6586CB62">
      <w:pPr>
        <w:tabs>
          <w:tab w:val="left" w:pos="6870"/>
        </w:tabs>
        <w:spacing w:before="156" w:beforeLines="50"/>
        <w:jc w:val="center"/>
        <w:rPr>
          <w:rFonts w:ascii="黑体" w:eastAsia="黑体"/>
          <w:sz w:val="30"/>
        </w:rPr>
      </w:pPr>
      <w:r>
        <w:rPr>
          <w:rFonts w:hint="eastAsia" w:ascii="黑体" w:eastAsia="黑体"/>
          <w:sz w:val="30"/>
        </w:rPr>
        <w:t>（ 20</w:t>
      </w:r>
      <w:r>
        <w:rPr>
          <w:rFonts w:ascii="黑体" w:eastAsia="黑体"/>
          <w:sz w:val="30"/>
        </w:rPr>
        <w:t>2</w:t>
      </w:r>
      <w:r>
        <w:rPr>
          <w:rFonts w:hint="eastAsia" w:ascii="黑体" w:eastAsia="黑体"/>
          <w:sz w:val="30"/>
          <w:lang w:val="en-US" w:eastAsia="zh-CN"/>
        </w:rPr>
        <w:t>6</w:t>
      </w:r>
      <w:r>
        <w:rPr>
          <w:rFonts w:hint="eastAsia" w:ascii="黑体" w:eastAsia="黑体"/>
          <w:sz w:val="30"/>
        </w:rPr>
        <w:t>/ 202</w:t>
      </w:r>
      <w:r>
        <w:rPr>
          <w:rFonts w:hint="eastAsia" w:ascii="黑体" w:eastAsia="黑体"/>
          <w:sz w:val="30"/>
          <w:lang w:val="en-US" w:eastAsia="zh-CN"/>
        </w:rPr>
        <w:t>7</w:t>
      </w:r>
      <w:r>
        <w:rPr>
          <w:rFonts w:hint="eastAsia" w:ascii="黑体" w:eastAsia="黑体"/>
          <w:sz w:val="30"/>
        </w:rPr>
        <w:t>学年 第 一 学期）</w:t>
      </w:r>
    </w:p>
    <w:p w14:paraId="7F3554A6">
      <w:pPr>
        <w:tabs>
          <w:tab w:val="left" w:pos="6870"/>
        </w:tabs>
        <w:ind w:firstLine="2160"/>
        <w:rPr>
          <w:rFonts w:ascii="黑体" w:eastAsia="黑体"/>
          <w:sz w:val="44"/>
        </w:rPr>
      </w:pPr>
    </w:p>
    <w:p w14:paraId="3BFD73A5">
      <w:pPr>
        <w:tabs>
          <w:tab w:val="left" w:pos="6870"/>
        </w:tabs>
        <w:ind w:firstLine="2160"/>
        <w:rPr>
          <w:rFonts w:ascii="黑体" w:eastAsia="黑体"/>
          <w:sz w:val="44"/>
        </w:rPr>
      </w:pPr>
    </w:p>
    <w:p w14:paraId="054A46DA">
      <w:pPr>
        <w:tabs>
          <w:tab w:val="left" w:pos="6870"/>
        </w:tabs>
        <w:ind w:firstLine="0" w:left="1080"/>
        <w:rPr>
          <w:sz w:val="44"/>
          <w:szCs w:val="44"/>
          <w:u w:val="single"/>
        </w:rPr>
      </w:pPr>
      <w:r>
        <w:rPr>
          <w:rFonts w:hint="eastAsia" w:ascii="黑体" w:eastAsia="黑体" w:hAnsi="黑体"/>
          <w:b w:val="0"/>
          <w:color w:val="000000"/>
          <w:sz w:val="44"/>
        </w:rPr>
        <w:t>题   目：基于同态加密的</w:t>
      </w:r>
      <w:r>
        <w:rPr>
          <w:rFonts w:hint="eastAsia" w:ascii="黑体" w:hAnsi="黑体" w:eastAsia="黑体"/>
          <w:b w:val="0"/>
          <w:color w:val="000000"/>
          <w:sz w:val="44"/>
          <w:szCs w:val="44"/>
          <w:u w:val="single"/>
        </w:rPr>
      </w:r>
      <w:r>
        <w:rPr>
          <w:rFonts w:ascii="黑体" w:hAnsi="黑体" w:eastAsia="黑体"/>
          <w:b w:val="0"/>
          <w:color w:val="000000"/>
          <w:sz w:val="44"/>
          <w:szCs w:val="44"/>
          <w:u w:val="single"/>
        </w:rPr>
      </w:r>
      <w:r>
        <w:rPr>
          <w:rFonts w:hint="eastAsia" w:ascii="黑体" w:hAnsi="黑体" w:eastAsia="黑体"/>
          <w:b w:val="0"/>
          <w:color w:val="000000"/>
          <w:sz w:val="44"/>
          <w:szCs w:val="44"/>
          <w:u w:val="single"/>
        </w:rPr>
      </w:r>
    </w:p>
    <w:p w14:paraId="0D8CDEBB">
      <w:pPr>
        <w:tabs>
          <w:tab w:val="left" w:pos="6870"/>
        </w:tabs>
        <w:ind w:firstLine="0" w:left="3060"/>
        <w:rPr>
          <w:sz w:val="44"/>
          <w:szCs w:val="44"/>
          <w:u w:val="single"/>
        </w:rPr>
      </w:pPr>
      <w:r>
        <w:rPr>
          <w:rFonts w:hint="eastAsia" w:ascii="黑体" w:hAnsi="黑体" w:eastAsia="黑体"/>
          <w:b w:val="0"/>
          <w:color w:val="000000"/>
          <w:sz w:val="44"/>
          <w:szCs w:val="44"/>
        </w:rPr>
        <w:t>隐私保护投票系统</w:t>
      </w:r>
      <w:r>
        <w:rPr>
          <w:rFonts w:hint="eastAsia" w:ascii="黑体" w:hAnsi="黑体" w:eastAsia="黑体"/>
          <w:b w:val="0"/>
          <w:color w:val="000000"/>
          <w:sz w:val="44"/>
          <w:szCs w:val="44"/>
          <w:u w:val="single"/>
        </w:rPr>
      </w:r>
      <w:r>
        <w:rPr>
          <w:rFonts w:ascii="黑体" w:hAnsi="黑体" w:eastAsia="黑体"/>
          <w:b w:val="0"/>
          <w:color w:val="000000"/>
          <w:sz w:val="44"/>
          <w:szCs w:val="44"/>
          <w:u w:val="single"/>
        </w:rPr>
      </w:r>
      <w:r>
        <w:rPr>
          <w:rFonts w:hint="eastAsia" w:ascii="黑体" w:hAnsi="黑体" w:eastAsia="黑体"/>
          <w:b w:val="0"/>
          <w:color w:val="000000"/>
          <w:sz w:val="44"/>
          <w:szCs w:val="44"/>
          <w:u w:val="single"/>
        </w:rPr>
      </w:r>
    </w:p>
    <w:p w14:paraId="704974FC">
      <w:pPr>
        <w:spacing w:line="360" w:lineRule="auto"/>
        <w:jc w:val="center"/>
        <w:rPr>
          <w:b/>
          <w:bCs/>
          <w:sz w:val="32"/>
          <w:u w:val="single"/>
        </w:rPr>
      </w:pPr>
    </w:p>
    <w:p w14:paraId="4D19EB92">
      <w:pPr>
        <w:tabs>
          <w:tab w:val="left" w:pos="6870"/>
        </w:tabs>
        <w:rPr>
          <w:rFonts w:ascii="黑体" w:eastAsia="黑体"/>
          <w:sz w:val="44"/>
        </w:rPr>
      </w:pPr>
    </w:p>
    <w:tbl>
      <w:tblPr>
        <w:tblStyle w:val="12"/>
        <w:tblW w:w="63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3754"/>
      </w:tblGrid>
      <w:tr w14:paraId="1CBD90A0"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766F1BF9">
            <w:pPr>
              <w:tabs>
                <w:tab w:val="left" w:pos="6870"/>
              </w:tabs>
              <w:ind w:left="120" w:leftChars="50"/>
              <w:rPr>
                <w:rFonts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专          业</w:t>
            </w:r>
          </w:p>
        </w:tc>
        <w:tc>
          <w:tcPr>
            <w:tcW w:w="375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1F911ACB">
            <w:pPr>
              <w:tabs>
                <w:tab w:val="left" w:pos="6870"/>
              </w:tabs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信息安全</w:t>
            </w:r>
          </w:p>
        </w:tc>
      </w:tr>
      <w:tr w14:paraId="42EE1817"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2F620A6A">
            <w:pPr>
              <w:tabs>
                <w:tab w:val="left" w:pos="6870"/>
              </w:tabs>
              <w:ind w:left="120" w:leftChars="50"/>
              <w:rPr>
                <w:b/>
                <w:bCs/>
                <w:sz w:val="30"/>
              </w:rPr>
            </w:pPr>
            <w:r>
              <w:rPr>
                <w:rFonts w:hint="eastAsia"/>
                <w:b/>
                <w:bCs/>
                <w:sz w:val="30"/>
              </w:rPr>
              <w:t>学  生  姓  名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5F365880">
            <w:pPr>
              <w:tabs>
                <w:tab w:val="left" w:pos="6870"/>
              </w:tabs>
              <w:jc w:val="center"/>
              <w:rPr>
                <w:b/>
                <w:sz w:val="30"/>
                <w:szCs w:val="3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30"/>
              </w:rPr>
              <w:t>成员A  姓名：________</w:t>
            </w:r>
          </w:p>
        </w:tc>
      </w:tr>
      <w:tr w14:paraId="064B8595"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431F1248">
            <w:pPr>
              <w:tabs>
                <w:tab w:val="left" w:pos="6870"/>
              </w:tabs>
              <w:ind w:left="120" w:leftChars="50"/>
              <w:rPr>
                <w:b/>
                <w:bCs/>
                <w:sz w:val="30"/>
              </w:rPr>
            </w:pPr>
            <w:r>
              <w:rPr>
                <w:rFonts w:hint="eastAsia"/>
                <w:b/>
                <w:bCs/>
                <w:sz w:val="30"/>
              </w:rPr>
              <w:t>班  级  学  号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1A0D2B86">
            <w:pPr>
              <w:tabs>
                <w:tab w:val="left" w:pos="6870"/>
              </w:tabs>
              <w:jc w:val="center"/>
              <w:rPr>
                <w:b/>
                <w:sz w:val="30"/>
                <w:szCs w:val="3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30"/>
              </w:rPr>
              <w:t>B230414  学号：________</w:t>
            </w:r>
          </w:p>
        </w:tc>
      </w:tr>
      <w:tr w14:paraId="7F3CB1B3"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1A5046B3">
            <w:pPr>
              <w:tabs>
                <w:tab w:val="left" w:pos="6870"/>
              </w:tabs>
              <w:ind w:left="120" w:leftChars="50"/>
              <w:rPr>
                <w:rFonts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指  导  教  师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14B502E4">
            <w:pPr>
              <w:tabs>
                <w:tab w:val="left" w:pos="6870"/>
              </w:tabs>
              <w:jc w:val="center"/>
              <w:rPr>
                <w:rFonts w:hint="eastAsia" w:eastAsia="宋体"/>
                <w:b/>
                <w:sz w:val="30"/>
                <w:szCs w:val="30"/>
                <w:lang w:eastAsia="zh-CN"/>
              </w:rPr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吴严生</w:t>
            </w:r>
          </w:p>
        </w:tc>
      </w:tr>
      <w:tr w14:paraId="37B439BC"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567A2E2A">
            <w:pPr>
              <w:tabs>
                <w:tab w:val="left" w:pos="6870"/>
              </w:tabs>
              <w:ind w:left="120" w:leftChars="50"/>
              <w:rPr>
                <w:rFonts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指  导  单  位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2849F121">
            <w:pPr>
              <w:tabs>
                <w:tab w:val="left" w:pos="6870"/>
              </w:tabs>
              <w:spacing w:line="240" w:lineRule="atLeast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28"/>
                <w:szCs w:val="28"/>
              </w:rPr>
              <w:t>计算机学院、软件学院、网络空间安全学院</w:t>
            </w:r>
          </w:p>
        </w:tc>
      </w:tr>
      <w:tr w14:paraId="201E9398"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1817A45C">
            <w:pPr>
              <w:tabs>
                <w:tab w:val="left" w:pos="6870"/>
              </w:tabs>
              <w:ind w:left="120" w:leftChars="50"/>
              <w:rPr>
                <w:rFonts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日          期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right w:val="nil"/>
            </w:tcBorders>
            <w:vAlign w:val="bottom"/>
          </w:tcPr>
          <w:p w14:paraId="5E0926B3">
            <w:pPr>
              <w:tabs>
                <w:tab w:val="left" w:pos="6870"/>
              </w:tabs>
              <w:jc w:val="center"/>
              <w:rPr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30"/>
                <w:szCs w:val="30"/>
              </w:rPr>
              <w:t>2026.10.26—2026.11.06</w:t>
            </w:r>
            <w:r>
              <w:rPr>
                <w:rFonts w:hint="eastAsia" w:ascii="Times New Roman" w:hAnsi="Times New Roman" w:cs="Times New Roman" w:eastAsia="宋体"/>
                <w:b w:val="0"/>
                <w:color w:val="000000"/>
                <w:sz w:val="30"/>
                <w:szCs w:val="30"/>
                <w:lang w:val="en-US" w:eastAsia="zh-CN"/>
              </w:rPr>
            </w:r>
            <w:r>
              <w:rPr>
                <w:rFonts w:ascii="Times New Roman" w:hAnsi="Times New Roman" w:cs="Times New Roman" w:eastAsia="宋体"/>
                <w:b w:val="0"/>
                <w:color w:val="000000"/>
                <w:sz w:val="30"/>
                <w:szCs w:val="30"/>
              </w:rPr>
            </w:r>
            <w:r>
              <w:rPr>
                <w:rFonts w:hint="eastAsia" w:ascii="Times New Roman" w:hAnsi="Times New Roman" w:cs="Times New Roman" w:eastAsia="宋体"/>
                <w:b w:val="0"/>
                <w:color w:val="000000"/>
                <w:sz w:val="30"/>
                <w:szCs w:val="30"/>
                <w:lang w:val="en-US" w:eastAsia="zh-CN"/>
              </w:rPr>
            </w:r>
            <w:r>
              <w:rPr>
                <w:rFonts w:ascii="Times New Roman" w:hAnsi="Times New Roman" w:cs="Times New Roman" w:eastAsia="宋体"/>
                <w:b w:val="0"/>
                <w:color w:val="000000"/>
                <w:sz w:val="30"/>
                <w:szCs w:val="30"/>
              </w:rPr>
            </w:r>
            <w:r>
              <w:rPr>
                <w:rFonts w:hint="eastAsia" w:ascii="Times New Roman" w:hAnsi="Times New Roman" w:cs="Times New Roman" w:eastAsia="宋体"/>
                <w:b w:val="0"/>
                <w:color w:val="000000"/>
                <w:sz w:val="30"/>
                <w:szCs w:val="30"/>
              </w:rPr>
            </w:r>
            <w:r>
              <w:rPr>
                <w:rFonts w:ascii="Times New Roman" w:hAnsi="Times New Roman" w:cs="Times New Roman" w:eastAsia="宋体"/>
                <w:b w:val="0"/>
                <w:color w:val="000000"/>
                <w:sz w:val="30"/>
                <w:szCs w:val="30"/>
              </w:rPr>
            </w:r>
          </w:p>
        </w:tc>
      </w:tr>
    </w:tbl>
    <w:p>
      <w:pPr>
        <w:pageBreakBefore/>
        <w:spacing w:after="0" w:before="0" w:line="20" w:lineRule="exact"/>
      </w:pPr>
      <w:r>
        <w:rPr>
          <w:sz w:val="2"/>
        </w:rPr>
      </w:r>
    </w:p>
    <w:tbl>
      <w:tblPr>
        <w:tblStyle w:val="11"/>
        <w:tblW w:w="952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5"/>
        <w:gridCol w:w="5313"/>
        <w:gridCol w:w="1316"/>
      </w:tblGrid>
      <w:tr w14:paraId="78B71AE5">
        <w:trPr>
          <w:cantSplit/>
          <w:trHeight w:val="693" w:hRule="atLeast"/>
        </w:trPr>
        <w:tc>
          <w:tcPr>
            <w:tcW w:w="2895" w:type="dxa"/>
            <w:tcBorders>
              <w:top w:val="single" w:color="auto" w:sz="4" w:space="0"/>
            </w:tcBorders>
            <w:vAlign w:val="center"/>
          </w:tcPr>
          <w:p w14:paraId="341C74D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课程目标</w:t>
            </w:r>
          </w:p>
        </w:tc>
        <w:tc>
          <w:tcPr>
            <w:tcW w:w="5313" w:type="dxa"/>
            <w:tcBorders>
              <w:top w:val="single" w:color="auto" w:sz="4" w:space="0"/>
            </w:tcBorders>
            <w:vAlign w:val="center"/>
          </w:tcPr>
          <w:p w14:paraId="42BB8FB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评价准则</w:t>
            </w:r>
          </w:p>
        </w:tc>
        <w:tc>
          <w:tcPr>
            <w:tcW w:w="1316" w:type="dxa"/>
            <w:tcBorders>
              <w:top w:val="single" w:color="auto" w:sz="4" w:space="0"/>
            </w:tcBorders>
            <w:vAlign w:val="center"/>
          </w:tcPr>
          <w:p w14:paraId="3084FBA8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计分（每项10分）</w:t>
            </w:r>
          </w:p>
        </w:tc>
      </w:tr>
      <w:tr w14:paraId="0251F9B4">
        <w:trPr>
          <w:cantSplit/>
          <w:trHeight w:val="700" w:hRule="atLeast"/>
        </w:trPr>
        <w:tc>
          <w:tcPr>
            <w:tcW w:w="2895" w:type="dxa"/>
            <w:vMerge w:val="restart"/>
            <w:vAlign w:val="center"/>
          </w:tcPr>
          <w:p w14:paraId="238FAC3E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课程目标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1：通过课程设计，培养学生综合应用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信息安全、计算机技术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等领域专业知识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的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技能。（20分）</w:t>
            </w:r>
          </w:p>
        </w:tc>
        <w:tc>
          <w:tcPr>
            <w:tcW w:w="5313" w:type="dxa"/>
            <w:vAlign w:val="center"/>
          </w:tcPr>
          <w:p w14:paraId="59CF9379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1、能够掌握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信息安全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的相关基础知识，并能够针对求解的工程问题，收集资料进行合理的分析与设计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。</w:t>
            </w:r>
          </w:p>
        </w:tc>
        <w:tc>
          <w:tcPr>
            <w:tcW w:w="1316" w:type="dxa"/>
            <w:vAlign w:val="center"/>
          </w:tcPr>
          <w:p w14:paraId="0B5977B4">
            <w:pPr>
              <w:spacing w:before="62" w:beforeLines="20" w:after="62" w:afterLines="20"/>
              <w:jc w:val="center"/>
              <w:rPr>
                <w:b/>
                <w:bCs/>
              </w:rPr>
            </w:pPr>
          </w:p>
        </w:tc>
      </w:tr>
      <w:tr w14:paraId="61379F22">
        <w:trPr>
          <w:cantSplit/>
        </w:trPr>
        <w:tc>
          <w:tcPr>
            <w:tcW w:w="2895" w:type="dxa"/>
            <w:vMerge w:val="continue"/>
            <w:vAlign w:val="center"/>
          </w:tcPr>
          <w:p w14:paraId="1DE5228B">
            <w:pPr>
              <w:spacing w:before="93" w:beforeLines="30" w:after="93" w:afterLines="3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313" w:type="dxa"/>
            <w:vAlign w:val="center"/>
          </w:tcPr>
          <w:p w14:paraId="7A6AF228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2、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从软件的分析、设计到编制调试，结合计算机网络理论知识、编程语言以及程序设计的方法，能够解决一个和信息安全相关的问题。</w:t>
            </w:r>
          </w:p>
        </w:tc>
        <w:tc>
          <w:tcPr>
            <w:tcW w:w="1316" w:type="dxa"/>
            <w:vAlign w:val="center"/>
          </w:tcPr>
          <w:p w14:paraId="73D8DA32">
            <w:pPr>
              <w:spacing w:before="62" w:beforeLines="20" w:after="62" w:afterLines="20"/>
              <w:jc w:val="center"/>
              <w:rPr>
                <w:b/>
                <w:bCs/>
              </w:rPr>
            </w:pPr>
          </w:p>
        </w:tc>
      </w:tr>
      <w:tr w14:paraId="004BEEC7">
        <w:trPr>
          <w:cantSplit/>
        </w:trPr>
        <w:tc>
          <w:tcPr>
            <w:tcW w:w="2895" w:type="dxa"/>
            <w:vMerge w:val="restart"/>
            <w:vAlign w:val="center"/>
          </w:tcPr>
          <w:p w14:paraId="2DE0B5A4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课程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目标2：解决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信息安全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领域复杂工程问题的实践创新能力。（20分）</w:t>
            </w:r>
          </w:p>
        </w:tc>
        <w:tc>
          <w:tcPr>
            <w:tcW w:w="5313" w:type="dxa"/>
            <w:vAlign w:val="center"/>
          </w:tcPr>
          <w:p w14:paraId="20A529B3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3、通过调研，能够选择合适的程序设计语言与编程开发平台，对求解的工程问题进行编程实现。</w:t>
            </w:r>
          </w:p>
        </w:tc>
        <w:tc>
          <w:tcPr>
            <w:tcW w:w="1316" w:type="dxa"/>
            <w:vAlign w:val="center"/>
          </w:tcPr>
          <w:p w14:paraId="7B3D78B0">
            <w:pPr>
              <w:spacing w:before="62" w:beforeLines="20" w:after="62" w:afterLines="20"/>
              <w:jc w:val="center"/>
              <w:rPr>
                <w:b/>
                <w:bCs/>
              </w:rPr>
            </w:pPr>
          </w:p>
        </w:tc>
      </w:tr>
      <w:tr w14:paraId="31E7BE8A">
        <w:trPr>
          <w:cantSplit/>
        </w:trPr>
        <w:tc>
          <w:tcPr>
            <w:tcW w:w="2895" w:type="dxa"/>
            <w:vMerge w:val="continue"/>
            <w:vAlign w:val="center"/>
          </w:tcPr>
          <w:p w14:paraId="7C13FF10">
            <w:pPr>
              <w:spacing w:before="93" w:beforeLines="30" w:after="93" w:afterLines="3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313" w:type="dxa"/>
            <w:vAlign w:val="center"/>
          </w:tcPr>
          <w:p w14:paraId="262D008D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4、具备一定的人机交互设计意识，人机交互设计合理、友好，操作简便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。</w:t>
            </w:r>
          </w:p>
        </w:tc>
        <w:tc>
          <w:tcPr>
            <w:tcW w:w="1316" w:type="dxa"/>
            <w:vAlign w:val="center"/>
          </w:tcPr>
          <w:p w14:paraId="277AED20">
            <w:pPr>
              <w:spacing w:before="62" w:beforeLines="20" w:after="62" w:afterLines="20"/>
              <w:jc w:val="center"/>
              <w:rPr>
                <w:b/>
                <w:bCs/>
              </w:rPr>
            </w:pPr>
          </w:p>
        </w:tc>
      </w:tr>
      <w:tr w14:paraId="5529864B">
        <w:trPr>
          <w:cantSplit/>
        </w:trPr>
        <w:tc>
          <w:tcPr>
            <w:tcW w:w="2895" w:type="dxa"/>
            <w:vAlign w:val="center"/>
          </w:tcPr>
          <w:p w14:paraId="22858CC6">
            <w:pPr>
              <w:spacing w:before="93" w:beforeLines="30" w:after="93" w:afterLines="30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课程目标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3：文献调研与资料收集能力，问题发现、研究、分析与解决能力。（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0分）</w:t>
            </w:r>
          </w:p>
        </w:tc>
        <w:tc>
          <w:tcPr>
            <w:tcW w:w="5313" w:type="dxa"/>
            <w:vAlign w:val="center"/>
          </w:tcPr>
          <w:p w14:paraId="78765D32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具备一定自学能力与探索创新意识，能够充分利用教科书及其资源（如网络等）自学新知识与新技能。</w:t>
            </w:r>
          </w:p>
        </w:tc>
        <w:tc>
          <w:tcPr>
            <w:tcW w:w="1316" w:type="dxa"/>
            <w:vAlign w:val="center"/>
          </w:tcPr>
          <w:p w14:paraId="6FE23C20">
            <w:pPr>
              <w:spacing w:before="62" w:beforeLines="20" w:after="62" w:afterLines="20"/>
              <w:jc w:val="center"/>
              <w:rPr>
                <w:b/>
                <w:bCs/>
              </w:rPr>
            </w:pPr>
          </w:p>
        </w:tc>
      </w:tr>
      <w:tr w14:paraId="1C2702A3">
        <w:trPr>
          <w:cantSplit/>
        </w:trPr>
        <w:tc>
          <w:tcPr>
            <w:tcW w:w="2895" w:type="dxa"/>
            <w:vMerge w:val="restart"/>
            <w:vAlign w:val="center"/>
          </w:tcPr>
          <w:p w14:paraId="3511D007">
            <w:pPr>
              <w:spacing w:before="93" w:beforeLines="30" w:after="93" w:afterLines="30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课程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目标4：培养工程工具运用能力，能够利用仿真软件或实验系统对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信息安全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系统进行模拟和预测，并理解仿真软件或实验硬件的局限性。（20分）</w:t>
            </w:r>
          </w:p>
        </w:tc>
        <w:tc>
          <w:tcPr>
            <w:tcW w:w="5313" w:type="dxa"/>
            <w:vAlign w:val="center"/>
          </w:tcPr>
          <w:p w14:paraId="07665BC9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6、能够结合计算机软硬件资源，合理选用算法、数据结构、数据存储方式等技术手段，理解相关算法，对求解的工程问题进行有效建模和求解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。</w:t>
            </w:r>
          </w:p>
        </w:tc>
        <w:tc>
          <w:tcPr>
            <w:tcW w:w="1316" w:type="dxa"/>
            <w:vAlign w:val="center"/>
          </w:tcPr>
          <w:p w14:paraId="7CDBED2E">
            <w:pPr>
              <w:spacing w:before="62" w:beforeLines="20" w:after="62" w:afterLines="20"/>
              <w:jc w:val="center"/>
              <w:rPr>
                <w:b/>
                <w:bCs/>
              </w:rPr>
            </w:pPr>
          </w:p>
        </w:tc>
      </w:tr>
      <w:tr w14:paraId="16C06164">
        <w:trPr>
          <w:cantSplit/>
        </w:trPr>
        <w:tc>
          <w:tcPr>
            <w:tcW w:w="2895" w:type="dxa"/>
            <w:vMerge w:val="continue"/>
            <w:vAlign w:val="center"/>
          </w:tcPr>
          <w:p w14:paraId="1F9CE3AF">
            <w:pPr>
              <w:spacing w:before="93" w:beforeLines="30" w:after="93" w:afterLines="3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313" w:type="dxa"/>
            <w:vAlign w:val="center"/>
          </w:tcPr>
          <w:p w14:paraId="60D77A74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7、掌握调试方法与工具，对程序开发过程中出现的问题进行分析、跟踪与调试，并能够进行充分测试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。</w:t>
            </w:r>
          </w:p>
        </w:tc>
        <w:tc>
          <w:tcPr>
            <w:tcW w:w="1316" w:type="dxa"/>
            <w:vAlign w:val="center"/>
          </w:tcPr>
          <w:p w14:paraId="458191BA">
            <w:pPr>
              <w:spacing w:before="62" w:beforeLines="20" w:after="62" w:afterLines="20"/>
              <w:jc w:val="center"/>
              <w:rPr>
                <w:b/>
                <w:bCs/>
              </w:rPr>
            </w:pPr>
          </w:p>
        </w:tc>
      </w:tr>
      <w:tr w14:paraId="3A298B71">
        <w:trPr>
          <w:cantSplit/>
        </w:trPr>
        <w:tc>
          <w:tcPr>
            <w:tcW w:w="2895" w:type="dxa"/>
            <w:vMerge w:val="restart"/>
            <w:vAlign w:val="center"/>
          </w:tcPr>
          <w:p w14:paraId="6D65047B">
            <w:pPr>
              <w:spacing w:before="93" w:beforeLines="30" w:after="93" w:afterLines="30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课程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目标5：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分组完成一次项目设计与开发的全过程，组内成员通过讨论和交流解决课程设计中的难题，能在实验报告中准确阐述课程设计的内容，能够清晰陈述观点和回答问题。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0分）</w:t>
            </w:r>
          </w:p>
        </w:tc>
        <w:tc>
          <w:tcPr>
            <w:tcW w:w="5313" w:type="dxa"/>
            <w:vAlign w:val="center"/>
          </w:tcPr>
          <w:p w14:paraId="5769C3A4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8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、组内成员之间有一定的团队合作，互通有无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。</w:t>
            </w:r>
          </w:p>
        </w:tc>
        <w:tc>
          <w:tcPr>
            <w:tcW w:w="1316" w:type="dxa"/>
            <w:vMerge w:val="restart"/>
            <w:vAlign w:val="center"/>
          </w:tcPr>
          <w:p w14:paraId="0F834638">
            <w:pPr>
              <w:spacing w:before="62" w:beforeLines="20" w:after="62" w:afterLines="20"/>
              <w:jc w:val="center"/>
              <w:rPr>
                <w:b/>
                <w:bCs/>
              </w:rPr>
            </w:pPr>
          </w:p>
        </w:tc>
      </w:tr>
      <w:tr w14:paraId="157125D2">
        <w:trPr>
          <w:cantSplit/>
          <w:trHeight w:val="1433" w:hRule="atLeast"/>
        </w:trPr>
        <w:tc>
          <w:tcPr>
            <w:tcW w:w="2895" w:type="dxa"/>
            <w:vMerge w:val="continue"/>
            <w:vAlign w:val="center"/>
          </w:tcPr>
          <w:p w14:paraId="66D73142">
            <w:pPr>
              <w:spacing w:before="93" w:beforeLines="30" w:after="93" w:afterLines="30"/>
              <w:rPr>
                <w:rFonts w:ascii="Times New Roman" w:hAnsi="Times New Roman" w:cs="Times New Roman"/>
              </w:rPr>
            </w:pPr>
          </w:p>
        </w:tc>
        <w:tc>
          <w:tcPr>
            <w:tcW w:w="5313" w:type="dxa"/>
            <w:vAlign w:val="center"/>
          </w:tcPr>
          <w:p w14:paraId="6889AE8E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9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、具备一定的语言表达能力与文字处理能力，能够结合复杂工程问题撰写报告，报告内容和实验数据详实，格式规范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。</w:t>
            </w:r>
          </w:p>
        </w:tc>
        <w:tc>
          <w:tcPr>
            <w:tcW w:w="1316" w:type="dxa"/>
            <w:vMerge w:val="continue"/>
            <w:vAlign w:val="center"/>
          </w:tcPr>
          <w:p w14:paraId="04FA67EA">
            <w:pPr>
              <w:spacing w:before="62" w:beforeLines="20" w:after="62" w:afterLines="20"/>
              <w:jc w:val="center"/>
              <w:rPr>
                <w:b/>
                <w:bCs/>
              </w:rPr>
            </w:pPr>
          </w:p>
        </w:tc>
      </w:tr>
      <w:tr w14:paraId="224A7055">
        <w:trPr>
          <w:cantSplit/>
        </w:trPr>
        <w:tc>
          <w:tcPr>
            <w:tcW w:w="2895" w:type="dxa"/>
            <w:vMerge w:val="continue"/>
            <w:vAlign w:val="center"/>
          </w:tcPr>
          <w:p w14:paraId="30C4AA67">
            <w:pPr>
              <w:spacing w:before="93" w:beforeLines="30" w:after="93" w:afterLines="30"/>
              <w:rPr>
                <w:rFonts w:ascii="Times New Roman" w:hAnsi="Times New Roman" w:cs="Times New Roman"/>
              </w:rPr>
            </w:pPr>
          </w:p>
        </w:tc>
        <w:tc>
          <w:tcPr>
            <w:tcW w:w="5313" w:type="dxa"/>
            <w:vAlign w:val="center"/>
          </w:tcPr>
          <w:p w14:paraId="03CA0557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10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、能够正确、完整地回答指导教师关于课题的问询，反映其对课题内容，以及相关的工程基础知识具有较好的理解和掌握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。</w:t>
            </w:r>
          </w:p>
        </w:tc>
        <w:tc>
          <w:tcPr>
            <w:tcW w:w="1316" w:type="dxa"/>
            <w:vMerge w:val="continue"/>
            <w:vAlign w:val="center"/>
          </w:tcPr>
          <w:p w14:paraId="783B9EDD">
            <w:pPr>
              <w:spacing w:before="62" w:beforeLines="20" w:after="62" w:afterLines="20"/>
              <w:jc w:val="center"/>
              <w:rPr>
                <w:b/>
                <w:bCs/>
              </w:rPr>
            </w:pPr>
          </w:p>
        </w:tc>
      </w:tr>
      <w:tr w14:paraId="2D870748">
        <w:trPr>
          <w:cantSplit/>
          <w:trHeight w:val="942" w:hRule="atLeast"/>
        </w:trPr>
        <w:tc>
          <w:tcPr>
            <w:tcW w:w="8208" w:type="dxa"/>
            <w:gridSpan w:val="2"/>
            <w:vAlign w:val="center"/>
          </w:tcPr>
          <w:p w14:paraId="1CC44406">
            <w:pPr>
              <w:spacing w:before="93" w:beforeLines="30" w:after="93" w:afterLines="30"/>
              <w:jc w:val="left"/>
            </w:pPr>
            <w:r>
              <w:rPr>
                <w:rFonts w:ascii="Times New Roman" w:hAnsi="Times New Roman" w:cs="Times New Roman"/>
              </w:rPr>
              <w:t>专业课程设计能力测评总分</w:t>
            </w:r>
          </w:p>
        </w:tc>
        <w:tc>
          <w:tcPr>
            <w:tcW w:w="1316" w:type="dxa"/>
            <w:vAlign w:val="center"/>
          </w:tcPr>
          <w:p w14:paraId="3072572C">
            <w:pPr>
              <w:spacing w:before="62" w:beforeLines="20" w:after="62" w:afterLines="20"/>
              <w:jc w:val="center"/>
              <w:rPr>
                <w:b/>
                <w:bCs/>
              </w:rPr>
            </w:pPr>
          </w:p>
        </w:tc>
      </w:tr>
      <w:tr w14:paraId="3DAF24B8">
        <w:trPr>
          <w:cantSplit/>
          <w:trHeight w:val="1361" w:hRule="atLeast"/>
        </w:trPr>
        <w:tc>
          <w:tcPr>
            <w:tcW w:w="9524" w:type="dxa"/>
            <w:gridSpan w:val="3"/>
            <w:vAlign w:val="center"/>
          </w:tcPr>
          <w:p w14:paraId="302F15E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      </w:t>
            </w:r>
          </w:p>
          <w:p w14:paraId="2A2144B5">
            <w:r>
              <w:rPr>
                <w:rFonts w:hint="eastAsia"/>
                <w:b/>
                <w:bCs/>
              </w:rPr>
              <w:t>指导教师：</w:t>
            </w:r>
            <w:r>
              <w:rPr>
                <w:rFonts w:hint="eastAsia"/>
                <w:b/>
                <w:bCs/>
                <w:u w:val="single"/>
              </w:rPr>
              <w:t xml:space="preserve">   </w:t>
            </w:r>
            <w:r>
              <w:rPr>
                <w:rFonts w:hint="eastAsia"/>
                <w:b/>
                <w:bCs/>
                <w:u w:val="single"/>
              </w:rPr>
            </w:r>
            <w:r>
              <w:rPr>
                <w:rFonts w:hint="eastAsia"/>
                <w:b/>
                <w:bCs/>
                <w:u w:val="single"/>
              </w:rPr>
              <w:t xml:space="preserve">          </w:t>
            </w:r>
            <w:r>
              <w:rPr>
                <w:rFonts w:hint="eastAsia"/>
                <w:b/>
                <w:bCs/>
              </w:rPr>
              <w:t xml:space="preserve">                </w:t>
            </w:r>
            <w:r>
              <w:rPr>
                <w:b/>
                <w:bCs/>
              </w:rPr>
              <w:t xml:space="preserve">      </w:t>
            </w:r>
            <w:r>
              <w:rPr>
                <w:rFonts w:hint="eastAsia"/>
                <w:b/>
                <w:bCs/>
                <w:u w:val="single"/>
              </w:rPr>
              <w:t xml:space="preserve">  </w:t>
            </w:r>
            <w:r>
              <w:rPr>
                <w:b/>
                <w:bCs/>
                <w:u w:val="single"/>
              </w:rPr>
              <w:t>202</w:t>
            </w:r>
            <w:r>
              <w:rPr>
                <w:rFonts w:hint="eastAsia"/>
                <w:b/>
                <w:bCs/>
                <w:u w:val="single"/>
                <w:lang w:val="en-US" w:eastAsia="zh-CN"/>
              </w:rPr>
              <w:t>6</w:t>
            </w:r>
            <w:r>
              <w:rPr>
                <w:rFonts w:hint="eastAsia"/>
                <w:b/>
                <w:bCs/>
                <w:u w:val="single"/>
              </w:rPr>
              <w:t xml:space="preserve">  </w:t>
            </w:r>
            <w:r>
              <w:rPr>
                <w:rFonts w:hint="eastAsia"/>
                <w:b/>
                <w:bCs/>
              </w:rPr>
              <w:t>年</w:t>
            </w:r>
            <w:r>
              <w:rPr>
                <w:rFonts w:hint="eastAsia"/>
                <w:b/>
                <w:bCs/>
                <w:u w:val="single"/>
              </w:rPr>
              <w:t xml:space="preserve">  </w:t>
            </w:r>
            <w:r>
              <w:rPr>
                <w:b/>
                <w:bCs/>
                <w:u w:val="single"/>
              </w:rPr>
              <w:t>11</w:t>
            </w:r>
            <w:r>
              <w:rPr>
                <w:rFonts w:hint="eastAsia"/>
                <w:b/>
                <w:bCs/>
                <w:u w:val="single"/>
              </w:rPr>
              <w:t xml:space="preserve">  </w:t>
            </w:r>
            <w:r>
              <w:rPr>
                <w:rFonts w:hint="eastAsia"/>
                <w:b/>
                <w:bCs/>
              </w:rPr>
              <w:t>月</w:t>
            </w:r>
            <w:r>
              <w:rPr>
                <w:rFonts w:hint="eastAsia"/>
                <w:b/>
                <w:bCs/>
                <w:u w:val="single"/>
              </w:rPr>
              <w:t xml:space="preserve"> </w:t>
            </w:r>
            <w:r>
              <w:rPr>
                <w:b/>
                <w:bCs/>
                <w:u w:val="single"/>
              </w:rPr>
              <w:t>4</w:t>
            </w:r>
            <w:r>
              <w:rPr>
                <w:rFonts w:hint="eastAsia"/>
                <w:b/>
                <w:bCs/>
                <w:u w:val="single"/>
              </w:rPr>
              <w:t xml:space="preserve">   </w:t>
            </w:r>
            <w:r>
              <w:rPr>
                <w:rFonts w:hint="eastAsia"/>
                <w:b/>
                <w:bCs/>
              </w:rPr>
              <w:t>日</w:t>
            </w:r>
          </w:p>
          <w:p w14:paraId="1967C9A3">
            <w:pPr>
              <w:jc w:val="center"/>
              <w:rPr>
                <w:b/>
                <w:bCs/>
              </w:rPr>
            </w:pPr>
          </w:p>
        </w:tc>
      </w:tr>
      <w:tr w14:paraId="0DA87145">
        <w:trPr>
          <w:cantSplit/>
          <w:trHeight w:val="1006" w:hRule="atLeast"/>
        </w:trPr>
        <w:tc>
          <w:tcPr>
            <w:tcW w:w="9524" w:type="dxa"/>
            <w:gridSpan w:val="3"/>
          </w:tcPr>
          <w:p w14:paraId="03206AA8">
            <w:pPr>
              <w:spacing w:before="156" w:beforeLines="5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FF0000"/>
              </w:rPr>
              <w:t>备注：加上平时成绩之后换算的总评成绩及等级（优、良、中、及格等）：</w:t>
            </w:r>
          </w:p>
        </w:tc>
      </w:tr>
    </w:tbl>
    <w:p>
      <w:pPr>
        <w:pStyle w:val="ReportTitle"/>
        <w:pageBreakBefore/>
      </w:pPr>
      <w:r>
        <w:rPr>
          <w:rFonts w:ascii="Times New Roman" w:hAnsi="Times New Roman" w:eastAsia="宋体"/>
          <w:b/>
          <w:color w:val="000000"/>
          <w:sz w:val="32"/>
        </w:rPr>
        <w:t>基于同态加密的隐私保护投票系统</w:t>
      </w:r>
    </w:p>
    <w:p>
      <w:pPr>
        <w:pStyle w:val="ReportH2"/>
        <w:spacing w:after="120"/>
      </w:pPr>
      <w:r>
        <w:rPr>
          <w:rFonts w:ascii="Times New Roman" w:hAnsi="Times New Roman" w:eastAsia="宋体"/>
          <w:b/>
          <w:color w:val="000000"/>
          <w:sz w:val="24"/>
        </w:rPr>
        <w:t>成员A分工报告  选票编码与Paillier加密模块</w:t>
      </w:r>
    </w:p>
    <w:p>
      <w:pPr>
        <w:pStyle w:val="ReportH1"/>
      </w:pPr>
      <w:r>
        <w:rPr>
          <w:rFonts w:ascii="Times New Roman" w:hAnsi="Times New Roman" w:eastAsia="宋体"/>
          <w:b/>
          <w:color w:val="000000"/>
          <w:sz w:val="28"/>
        </w:rPr>
        <w:t>一、课题内容和要求</w:t>
      </w:r>
    </w:p>
    <w:p>
      <w:pPr>
        <w:pStyle w:val="ReportH2"/>
      </w:pPr>
      <w:r>
        <w:rPr>
          <w:rFonts w:ascii="Times New Roman" w:hAnsi="Times New Roman" w:eastAsia="宋体"/>
          <w:b/>
          <w:color w:val="000000"/>
          <w:sz w:val="24"/>
        </w:rPr>
        <w:t>1.1 课题内容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系统使用Paillier加法同态加密实现本地可视化投票。投票端生成加密选票，计票端只访问公开数据并汇总密文，独立解密进程在投票关闭后返回各选项总票数。额外实现投票关闭与Ed25519签名清单审计，检测已接收选票的删除和修改。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把用户的单选意图转换为固定维度的加密向量，生成并保护密钥，使计票端不接触明文选择。重点解决随机化加密、动态选项、序列化和错误输入问题。</w:t>
      </w:r>
    </w:p>
    <w:p>
      <w:pPr>
        <w:pStyle w:val="ReportH2"/>
      </w:pPr>
      <w:r>
        <w:rPr>
          <w:rFonts w:ascii="Times New Roman" w:hAnsi="Times New Roman" w:eastAsia="宋体"/>
          <w:b/>
          <w:color w:val="000000"/>
          <w:sz w:val="24"/>
        </w:rPr>
        <w:t>1.2 课题要求与本分工责任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输入为本轮配置、投票者ID和一个选项索引。输出只包含轮次、ID、票型、时间戳、随机标识及密文向量。选项索引必须是整数且在范围内，ID必须位于授权名单。支持2至8个选项，现场变化通过新建投票轮次处理。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本报告对应的代码范围：crypto_service.py；experiments.py中的同态、随机化、口令和编码实验。</w:t>
      </w:r>
    </w:p>
    <w:p>
      <w:pPr>
        <w:pStyle w:val="ReportH1"/>
      </w:pPr>
      <w:r>
        <w:rPr>
          <w:rFonts w:ascii="Times New Roman" w:hAnsi="Times New Roman" w:eastAsia="宋体"/>
          <w:b/>
          <w:color w:val="000000"/>
          <w:sz w:val="28"/>
        </w:rPr>
        <w:t>二、需求分析和总体设计</w:t>
      </w:r>
    </w:p>
    <w:p>
      <w:pPr>
        <w:pStyle w:val="ReportH2"/>
      </w:pPr>
      <w:r>
        <w:t>2.1 本课题的主要功能</w:t>
      </w:r>
    </w:p>
    <w:p>
      <w:pPr>
        <w:pStyle w:val="ReportBody"/>
      </w:pPr>
      <w:r>
        <w:t>本模块接收本轮配置、名单ID和一个选项索引，输出固定维度的随机密文向量。创建流程生成2048位Paillier密钥，登记流程生成Ed25519签名密钥，口令保护的保管库保存私钥材料。选择为单选，选项数量可以变化，选票中不保存明文索引。</w:t>
      </w:r>
    </w:p>
    <w:p>
      <w:pPr>
        <w:pStyle w:val="ReportH2"/>
      </w:pPr>
      <w:r>
        <w:t>2.2 本课题的设计过程</w:t>
      </w:r>
    </w:p>
    <w:p>
      <w:pPr>
        <w:pStyle w:val="ReportBody"/>
      </w:pPr>
      <w:r>
        <w:t>先用独热向量约束客户端表达方式，再逐分量调用raw_encrypt；把公开随机标识nonce与加密内部随机数r区分，避免公开r。选项维度来自配置，不把三选项写死。密钥保管采用scrypt与AES-GCM，错误口令通过认证标签校验失败返回。</w:t>
      </w:r>
    </w:p>
    <w:p>
      <w:pPr>
        <w:pStyle w:val="ReportH2"/>
      </w:pPr>
      <w:r>
        <w:t>2.3 模块接口与分工</w:t>
      </w:r>
    </w:p>
    <w:p>
      <w:pPr>
        <w:pStyle w:val="ReportCaption"/>
        <w:keepNext/>
      </w:pPr>
      <w:r>
        <w:t>表1 小组模块划分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665"/>
        <w:gridCol w:w="5726"/>
      </w:tblGrid>
      <w:tr>
        <w:trPr>
          <w:tblHeader/>
          <w:tblHeader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1"/>
          </w:tcPr>
          <w:p>
            <w:pPr>
              <w:keepNext/>
              <w:spacing w:after="40" w:line="288" w:lineRule="auto" w:before="4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成员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1"/>
          </w:tcPr>
          <w:p>
            <w:pPr>
              <w:keepNext/>
              <w:spacing w:after="40" w:line="288" w:lineRule="auto" w:before="4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负责模块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1"/>
          </w:tcPr>
          <w:p>
            <w:pPr>
              <w:keepNext/>
              <w:spacing w:after="40" w:line="288" w:lineRule="auto" w:before="4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交付与验证</w:t>
            </w:r>
          </w:p>
        </w:tc>
      </w:tr>
      <w:tr>
        <w:trPr/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密钥与加密选票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编码、随机加密、密钥封装；同态和输入边界测试</w:t>
            </w:r>
          </w:p>
        </w:tc>
      </w:tr>
      <w:tr>
        <w:trPr/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同态汇总与受控解密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独立解密进程、总票数校验；准确性与性能实验</w:t>
            </w:r>
          </w:p>
        </w:tc>
      </w:tr>
      <w:tr>
        <w:trPr/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界面与签名审计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ID校验、关闭状态、签名清单、GUI与打包测试</w:t>
            </w:r>
          </w:p>
        </w:tc>
      </w:tr>
    </w:tbl>
    <w:p>
      <w:pPr>
        <w:pStyle w:val="ReportBody"/>
      </w:pPr>
      <w:r>
        <w:t>公开选票由A交给C登记，C把签名清单与密文交给B汇总，B向保管端提交完整汇总请求。各角色报告分别讨论编码与密钥、汇总与解密、界面与审计；实际姓名、学号和完成记录由成员核对填写。</w:t>
      </w:r>
    </w:p>
    <w:p>
      <w:pPr>
        <w:pStyle w:val="ReportH1"/>
      </w:pPr>
      <w:r>
        <w:rPr>
          <w:rFonts w:ascii="Times New Roman" w:hAnsi="Times New Roman" w:eastAsia="宋体"/>
          <w:b/>
          <w:color w:val="000000"/>
          <w:sz w:val="28"/>
        </w:rPr>
        <w:t>三、相关功能模块详细设计</w:t>
      </w:r>
    </w:p>
    <w:p>
      <w:pPr>
        <w:pStyle w:val="ReportH2"/>
      </w:pPr>
      <w:r>
        <w:rPr>
          <w:rFonts w:ascii="Times New Roman" w:hAnsi="Times New Roman" w:eastAsia="宋体"/>
          <w:b/>
          <w:color w:val="000000"/>
          <w:sz w:val="24"/>
        </w:rPr>
        <w:t>3.1 密钥生成与数学原理</w:t>
      </w:r>
    </w:p>
    <w:p>
      <w:pPr>
        <w:pStyle w:val="ReportBody"/>
      </w:pPr>
      <w:r>
        <w:t>密钥生成取不同大素数p、q，令n=pq、g=n+1；私钥可用λ=lcm(p−1,q−1)与μ表示，其中μ是L(</w:t>
      </w:r>
      <w:r>
        <w:t>g</w:t>
      </w:r>
      <w:r>
        <w:rPr>
          <w:vertAlign w:val="superscript"/>
        </w:rPr>
        <w:t>λ</w:t>
      </w:r>
      <w:r>
        <w:t xml:space="preserve"> mod n²)的模n逆元，L(u)=(u−1)/n。加密为c=</w:t>
      </w:r>
      <w:r>
        <w:t>g</w:t>
      </w:r>
      <w:r>
        <w:rPr>
          <w:vertAlign w:val="superscript"/>
        </w:rPr>
        <w:t>m</w:t>
      </w:r>
      <w:r>
        <w:t xml:space="preserve"> </w:t>
      </w:r>
      <w:r>
        <w:t>r</w:t>
      </w:r>
      <w:r>
        <w:rPr>
          <w:vertAlign w:val="superscript"/>
        </w:rPr>
        <w:t>n</w:t>
      </w:r>
      <w:r>
        <w:t xml:space="preserve"> mod n²，r与n互素；解密为m=L(</w:t>
      </w:r>
      <w:r>
        <w:t>c</w:t>
      </w:r>
      <w:r>
        <w:rPr>
          <w:vertAlign w:val="superscript"/>
        </w:rPr>
        <w:t>λ</w:t>
      </w:r>
      <w:r>
        <w:t xml:space="preserve"> mod n²)μ mod n。phe实现以p、q和CRT加速，教学公式不等同于源码逐行实现。</w:t>
      </w:r>
    </w:p>
    <w:p>
      <w:pPr>
        <w:pStyle w:val="ReportBody"/>
      </w:pPr>
      <w:r>
        <w:t>同态关系为E(a;r₁)·E(b;r₂) mod n² = E((a+b) mod n;r₁r₂ mod n)。逐列相乘可累计各选项的0或1，最后只解密各列总票。参与人数上限10000远小于n，不会产生票数模n回绕。该关系由原语接口[2]及E(2)·E(3)解密为5的实测共同核对。</w:t>
      </w:r>
    </w:p>
    <w:p>
      <w:pPr>
        <w:pStyle w:val="ReportH2"/>
      </w:pPr>
      <w:r>
        <w:rPr>
          <w:rFonts w:ascii="Times New Roman" w:hAnsi="Times New Roman" w:eastAsia="宋体"/>
          <w:b/>
          <w:color w:val="000000"/>
          <w:sz w:val="24"/>
        </w:rPr>
        <w:t>3.2 独热编码与动态票型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三选项的编码分别为[1,0,0]、[0,1,0]、[0,0,1]。对每个分量独立随机加密，维度由本轮options确定。每张票的ballot_type为single_choice，含投票者ID、UTC时间戳和128位随机标识。公开文件不写入choice字段，也不记录Paillier加密随机数r；公开r会削弱对小明文集合的保护。</w:t>
      </w:r>
    </w:p>
    <w:p>
      <w:pPr>
        <w:pStyle w:val="ReportH2"/>
      </w:pPr>
      <w:r>
        <w:rPr>
          <w:rFonts w:ascii="Times New Roman" w:hAnsi="Times New Roman" w:eastAsia="宋体"/>
          <w:b/>
          <w:color w:val="000000"/>
          <w:sz w:val="24"/>
        </w:rPr>
        <w:t>3.3 密钥生命周期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创建阶段生成Paillier私钥和登记签名密钥，使用scrypt派生32字节密钥，以AES-GCM加密保存到private/trustee.vault。scrypt参数为N=32768、r=8、p=1，盐16字节，nonce为12字节，投票轮次作为附加认证数据。创建后Election对象仅持有登记签名密钥；完整私钥仅在授权操作期间进入内存。Python不保证敏感对象即时擦除。</w:t>
      </w:r>
    </w:p>
    <w:p>
      <w:pPr>
        <w:pStyle w:val="ReportH2"/>
      </w:pPr>
      <w:r>
        <w:t>3.4 模块程序流程图设计</w:t>
      </w:r>
    </w:p>
    <w:p>
      <w:pPr>
        <w:pStyle w:val="ReportCaption"/>
        <w:keepNext/>
      </w:pPr>
      <w:r/>
      <w:r>
        <w:drawing>
          <wp:inline xmlns:a="http://schemas.openxmlformats.org/drawingml/2006/main" xmlns:pic="http://schemas.openxmlformats.org/drawingml/2006/picture">
            <wp:extent cx="5760000" cy="34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图1 本模块处理流程与失败出口</w:t>
      </w:r>
    </w:p>
    <w:p>
      <w:pPr>
        <w:pStyle w:val="ReportH2"/>
      </w:pPr>
      <w:r>
        <w:rPr>
          <w:rFonts w:ascii="Times New Roman" w:hAnsi="Times New Roman" w:eastAsia="宋体"/>
          <w:b/>
          <w:color w:val="000000"/>
          <w:sz w:val="24"/>
        </w:rPr>
        <w:t>3.5 威胁模型与安全边界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假设攻击者能够读取或修改公开选票目录，但不能获得保管口令和签名私钥，最初的公钥配置已可信确认。保护目标是隐藏单票选择并发现相对于签名清单的文件变化。应用运行在一台电脑上，角色隔离是教学流程；创建与解锁阶段可短暂接触完整密钥材料，不构成互不信任机构之间的物理隔离。</w:t>
      </w:r>
    </w:p>
    <w:p>
      <w:pPr>
        <w:pStyle w:val="ReportH2"/>
      </w:pPr>
      <w:r>
        <w:t>3.6 模块界面与数据说明</w:t>
      </w:r>
    </w:p>
    <w:p>
      <w:pPr>
        <w:pStyle w:val="ReportBody"/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96000" cy="40277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vo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4027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图2 加密投票页的公开元数据</w:t>
      </w:r>
    </w:p>
    <w:p>
      <w:pPr>
        <w:pStyle w:val="ReportH2"/>
      </w:pPr>
      <w:r>
        <w:t>3.7 公开数据与私有数据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public/config.json保存标题、选项、名单、Paillier公钥n和审计公钥；public/ballots保存每张加密选票；public/manifest.json保存签名清单。private/trustee.vault保存加密后的私钥材料。公开包不包含private目录。口令经标准输入管道交给解密子进程，不放入命令行或日志。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选票的时间戳、ID与随机标识属于公开元数据，隐私目标是投票内容保密，不是投票者匿名。演示和自动实验均使用虚构ID及合成选票。</w:t>
      </w:r>
    </w:p>
    <w:p>
      <w:pPr>
        <w:pStyle w:val="ReportH1"/>
      </w:pPr>
      <w:r>
        <w:rPr>
          <w:rFonts w:ascii="Times New Roman" w:hAnsi="Times New Roman" w:eastAsia="宋体"/>
          <w:b/>
          <w:color w:val="000000"/>
          <w:sz w:val="28"/>
        </w:rPr>
        <w:t>四、部分核心代码</w:t>
      </w:r>
    </w:p>
    <w:p>
      <w:pPr>
        <w:pStyle w:val="ReportH2"/>
      </w:pPr>
      <w:r>
        <w:rPr>
          <w:rFonts w:ascii="Times New Roman" w:hAnsi="Times New Roman" w:eastAsia="宋体"/>
          <w:b/>
          <w:color w:val="000000"/>
          <w:sz w:val="24"/>
        </w:rPr>
        <w:t>4.1 核心实现片段</w:t>
      </w:r>
    </w:p>
    <w:p>
      <w:pPr>
        <w:pStyle w:val="ReportBody"/>
        <w:keepNext/>
      </w:pPr>
      <w:r>
        <w:rPr>
          <w:rFonts w:ascii="Times New Roman" w:hAnsi="Times New Roman" w:eastAsia="宋体"/>
          <w:b w:val="0"/>
          <w:color w:val="000000"/>
          <w:sz w:val="24"/>
        </w:rPr>
        <w:t>以下片段摘自 crypto_service.py，完整上下文与异常处理见随附源代码。</w:t>
      </w:r>
    </w:p>
    <w:p>
      <w:pPr>
        <w:pStyle w:val="ReportCode"/>
        <w:keepNext w:val="0"/>
      </w:pPr>
      <w:r>
        <w:rPr>
          <w:rFonts w:ascii="Consolas" w:hAnsi="Consolas" w:eastAsia="新宋体"/>
          <w:b w:val="0"/>
          <w:color w:val="000000"/>
          <w:sz w:val="20"/>
        </w:rPr>
        <w:t xml:space="preserve">    if type(choice) is not int or not 0 &lt;= choice &lt; len(config['options']):</w:t>
        <w:br/>
        <w:t xml:space="preserve">        raise VoteError('必须且只能选择一个有效选项')</w:t>
        <w:br/>
        <w:t xml:space="preserve">    if voter_id not in config['roster']:</w:t>
        <w:br/>
        <w:t xml:space="preserve">        raise VoteError('投票者ID不在授权名单内')</w:t>
        <w:br/>
        <w:t xml:space="preserve">    pub = public_key(config)</w:t>
        <w:br/>
        <w:t xml:space="preserve">    encrypted = [</w:t>
        <w:br/>
        <w:t xml:space="preserve">        str(pub.raw_encrypt(int(i == choice)))</w:t>
        <w:br/>
        <w:t xml:space="preserve">        for i in range(len(config['options']))</w:t>
        <w:br/>
        <w:t xml:space="preserve">    ]</w:t>
        <w:br/>
        <w:t xml:space="preserve">    return {</w:t>
        <w:br/>
        <w:t xml:space="preserve">        'version': 1, 'election_id': config['election_id'],</w:t>
        <w:br/>
        <w:t xml:space="preserve">        'voter_id': voter_id, 'ballot_type': 'single_choice',</w:t>
        <w:br/>
        <w:t xml:space="preserve">        'timestamp': now(), 'nonce': uuid.uuid4().hex,</w:t>
        <w:br/>
        <w:t xml:space="preserve">        'ciphertexts': encrypted,</w:t>
        <w:br/>
        <w:t xml:space="preserve">    }</w:t>
      </w:r>
    </w:p>
    <w:p>
      <w:pPr>
        <w:pStyle w:val="ReportH2"/>
      </w:pPr>
      <w:r>
        <w:rPr>
          <w:rFonts w:ascii="Times New Roman" w:hAnsi="Times New Roman" w:eastAsia="宋体"/>
          <w:b/>
          <w:color w:val="000000"/>
          <w:sz w:val="24"/>
        </w:rPr>
        <w:t>4.2 本模块可重复实验步骤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1．在创建页设置3个选项、12名投票者及至少8字符的保管口令，创建投票目录。检查public/config.json包含n而不包含p、q。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2．依次用V0001至V0006提交第1、2、1、3、1、2个选项。每次提交后界面应清空选择，密文记录中不出现明文选项。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3．在自动实验中验证同一明文两次加密得到不同密文，并验证二者解密一致。随机加密不能用固定随机种子替代。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4．输入名单外ID或越界索引，观察明确拒绝；错误私钥口令必须导致认证失败。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5．新建4选项轮次，每个选项各投一票，交由成员B计票，结果应为[1,1,1,1]。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6．运行自动实验，记录10、100、1000人三选项各3次加密耗时，分析每票需要3次公钥加密的成本。</w:t>
      </w:r>
    </w:p>
    <w:p>
      <w:pPr>
        <w:pStyle w:val="ReportH1"/>
      </w:pPr>
      <w:r>
        <w:rPr>
          <w:rFonts w:ascii="Times New Roman" w:hAnsi="Times New Roman" w:eastAsia="宋体"/>
          <w:b/>
          <w:color w:val="000000"/>
          <w:sz w:val="28"/>
        </w:rPr>
        <w:t>五、课题完成过程中遇到的问题及解决方法</w:t>
      </w:r>
    </w:p>
    <w:p>
      <w:pPr>
        <w:pStyle w:val="ReportH2"/>
      </w:pPr>
      <w:r>
        <w:rPr>
          <w:rFonts w:ascii="Times New Roman" w:hAnsi="Times New Roman" w:eastAsia="宋体"/>
          <w:b/>
          <w:color w:val="000000"/>
          <w:sz w:val="24"/>
        </w:rPr>
        <w:t>5.1 实验环境与记录来源</w:t>
      </w:r>
    </w:p>
    <w:p>
      <w:pPr>
        <w:pStyle w:val="ReportBody"/>
      </w:pPr>
      <w:r>
        <w:t>本轮实测日期为2026年10月27日（北京时间）。环境为Windows-11-10.0.26200-SP0，Python 3.12.14；phe 1.5.0、gmpy2 2.3.2、cryptography 50.0.2、PySide6-Essentials 6.12.0。核心实验使用2048位Paillier模数；9项工程回归使用1024位密钥加速边界检查，不作为安全强度示范。</w:t>
      </w:r>
    </w:p>
    <w:p>
      <w:pPr>
        <w:pStyle w:val="ReportBody"/>
      </w:pPr>
      <w:r>
        <w:t>自动核心实验29项全部符合预期，另有9项工程回归和原生Qt界面测试通过。原始记录位于evidence/2026-10-27/full/，包含JSON与CSV；源码SHA-256逐文件记入JSON。表2列出本模块相关结果。“局限”用例通过表示成功复现边界，不表示已防御。</w:t>
      </w:r>
    </w:p>
    <w:p>
      <w:pPr>
        <w:pStyle w:val="ReportCaption"/>
        <w:keepNext/>
      </w:pPr>
      <w:r>
        <w:t>表2 本模块测试结果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633"/>
      </w:tblGrid>
      <w:tr>
        <w:trPr>
          <w:tblHeader/>
          <w:tblHeader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1"/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实验项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1"/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实测结果</w:t>
            </w:r>
          </w:p>
        </w:tc>
      </w:tr>
      <w:tr>
        <w:trPr/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加法同态性质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E(2) × E(3) mod n² 解密为5</w:t>
            </w:r>
          </w:p>
        </w:tc>
      </w:tr>
      <w:tr>
        <w:trPr/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随机化加密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相同明文两次加密得到不同密文</w:t>
            </w:r>
          </w:p>
        </w:tc>
      </w:tr>
      <w:tr>
        <w:trPr/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越界选项拒绝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必须且只能选择一个有效选项</w:t>
            </w:r>
          </w:p>
        </w:tc>
      </w:tr>
      <w:tr>
        <w:trPr/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错误口令拒绝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口令错误或密钥文件已损坏</w:t>
            </w:r>
          </w:p>
        </w:tc>
      </w:tr>
      <w:tr>
        <w:trPr/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错误维度拒绝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密文向量维度与选项数不一致</w:t>
            </w:r>
          </w:p>
        </w:tc>
      </w:tr>
      <w:tr>
        <w:trPr/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非法密文空间拒绝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密文不属于合法密文空间</w:t>
            </w:r>
          </w:p>
        </w:tc>
      </w:tr>
      <w:tr>
        <w:trPr/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公开选票字段检查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公开选票不含明文选择或私钥字段</w:t>
            </w:r>
          </w:p>
        </w:tc>
      </w:tr>
      <w:tr>
        <w:trPr/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动态选项数量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动态4选项得到 [1,1,1,1]</w:t>
            </w:r>
          </w:p>
        </w:tc>
      </w:tr>
      <w:tr>
        <w:trPr/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40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非法选票组合局限</w:t>
            </w:r>
          </w:p>
        </w:tc>
        <w:tc>
          <w:tcPr>
            <w:tcW w:type="dxa" w:w="66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40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两个非独热向量仍可形成满足约束的汇总；需零知识证明</w:t>
            </w:r>
          </w:p>
        </w:tc>
      </w:tr>
    </w:tbl>
    <w:p>
      <w:pPr>
        <w:pStyle w:val="ReportH2"/>
      </w:pPr>
      <w:r>
        <w:rPr>
          <w:rFonts w:ascii="Times New Roman" w:hAnsi="Times New Roman" w:eastAsia="宋体"/>
          <w:b/>
          <w:color w:val="000000"/>
          <w:sz w:val="24"/>
        </w:rPr>
        <w:t>5.2 失败案例与误报分析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失败与边界：越界选项、错误向量维度和非法密文整数被拒绝。完整性校验失败时，界面使用“口令错误或密钥文件损坏”，不会将一次认证失败误判为确定的口令错误。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误报分析：合法用户输入了错误格式的ID，会被名单校验拒绝。这属于输入校验失败，不是攻击检测率。应展示正确的ID格式并允许重新输入，而不是自动放宽身份规则。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安全局限：客户端生成合法独热向量，但接收端没有零知识证明，无法从密文证明每项是0或1且总和为1。总票数约束只能发现部分非法选票，不能代替合法性证明。</w:t>
      </w:r>
    </w:p>
    <w:p>
      <w:pPr>
        <w:pStyle w:val="ReportH2"/>
      </w:pPr>
      <w:r>
        <w:t>5.3 性能数据与结果分析</w:t>
      </w:r>
    </w:p>
    <w:p>
      <w:pPr>
        <w:pStyle w:val="ReportBody"/>
      </w:pPr>
      <w:r>
        <w:t>对10、100、1000名投票者各做3次三选项实验。合成明文使用种子20261026加重复序号，密码学随机数不固定；每次均核对解密计数与预期。表3取本轮JSON中的算术平均值，单位毫秒。</w:t>
      </w:r>
    </w:p>
    <w:p>
      <w:pPr>
        <w:pStyle w:val="ReportCaption"/>
        <w:keepNext/>
      </w:pPr>
      <w:r>
        <w:t>表3 加密 汇总与解密实测均值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2665"/>
        <w:gridCol w:w="2665"/>
        <w:gridCol w:w="2665"/>
      </w:tblGrid>
      <w:tr>
        <w:trPr>
          <w:tblHeader/>
          <w:tblHeader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1"/>
          </w:tcPr>
          <w:p>
            <w:pPr>
              <w:keepNext/>
              <w:spacing w:after="40" w:line="288" w:lineRule="auto" w:before="4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人数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1"/>
          </w:tcPr>
          <w:p>
            <w:pPr>
              <w:keepNext/>
              <w:spacing w:after="40" w:line="288" w:lineRule="auto" w:before="4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加密均值 ms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1"/>
          </w:tcPr>
          <w:p>
            <w:pPr>
              <w:keepNext/>
              <w:spacing w:after="40" w:line="288" w:lineRule="auto" w:before="4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汇总均值 ms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1"/>
          </w:tcPr>
          <w:p>
            <w:pPr>
              <w:keepNext/>
              <w:spacing w:after="40" w:line="288" w:lineRule="auto" w:before="4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解密均值 ms</w:t>
            </w:r>
          </w:p>
        </w:tc>
      </w:tr>
      <w:tr>
        <w:trPr/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line="288" w:lineRule="auto" w:after="40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line="288" w:lineRule="auto" w:after="40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538.06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line="288" w:lineRule="auto" w:after="40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1.21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line="288" w:lineRule="auto" w:after="40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16.72</w:t>
            </w:r>
          </w:p>
        </w:tc>
      </w:tr>
      <w:tr>
        <w:trPr/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line="288" w:lineRule="auto" w:after="40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line="288" w:lineRule="auto" w:after="40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5345.25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line="288" w:lineRule="auto" w:after="40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16.13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line="288" w:lineRule="auto" w:after="40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19.20</w:t>
            </w:r>
          </w:p>
        </w:tc>
      </w:tr>
      <w:tr>
        <w:trPr/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line="288" w:lineRule="auto" w:after="40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1000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line="288" w:lineRule="auto" w:after="40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46302.62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line="288" w:lineRule="auto" w:after="40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110.80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line="288" w:lineRule="auto" w:after="40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11.96</w:t>
            </w:r>
          </w:p>
        </w:tc>
      </w:tr>
    </w:tbl>
    <w:p>
      <w:pPr>
        <w:pStyle w:val="ReportBody"/>
      </w:pPr>
      <w:r>
        <w:t>计时仅覆盖Paillier原语，不包括文件、签名、口令派生、进程及GUI；界面耗时则来自当前轮次的实际审计和解密端复算，二者口径不同。测试期间计算机有其他任务，三次原始记录保存在JSON中，均值不能当作部署保证。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加密工作量与投票人数和选项数共同增长。固定3个选项时，每新增一名投票者需进行3次随机化Paillier加密，因此加密阶段占据主要计算时间。相同明文两次密文不同证明实现使用了随机化，但不能仅靠这项测试宣称密码实现已经获得安全审计。</w:t>
      </w:r>
    </w:p>
    <w:p>
      <w:pPr>
        <w:pStyle w:val="ReportH2"/>
      </w:pPr>
      <w:r>
        <w:t>5.4 准确性与可重复性</w:t>
      </w:r>
    </w:p>
    <w:p>
      <w:pPr>
        <w:pStyle w:val="ReportBody"/>
      </w:pPr>
      <w:r>
        <w:t>基准6票序列[0,1,0,2,0,1]得到[3,2,1]；2、4、8选项各投一票均得到全1向量，零票返回全0。原生Qt测试记录在evidence/2026-10-27/ui/，验证6次控件投票、子进程计票和两种审计演示。图2采用本轮实际截图。</w:t>
      </w:r>
    </w:p>
    <w:p>
      <w:pPr>
        <w:pStyle w:val="ReportH2"/>
      </w:pPr>
      <w:r>
        <w:t>5.5 本轮发现的问题与处理</w:t>
      </w:r>
    </w:p>
    <w:p>
      <w:pPr>
        <w:pStyle w:val="ReportBody"/>
      </w:pPr>
      <w:r>
        <w:t>新增边界实验表明，客户端正确生成独热向量不等于接收端能证明密文合法。两名恶意客户端分别提交[2,0]与[0,0]的加密向量，最终总票为[2,0]，仍满足总和等于两票。处理方法是保留总和检查作为有限检测，明确合法性证明尚未实现，不把它写成“所有非法票都能被发现”。</w:t>
      </w:r>
    </w:p>
    <w:p>
      <w:pPr>
        <w:pStyle w:val="ReportH1"/>
      </w:pPr>
      <w:r>
        <w:rPr>
          <w:rFonts w:ascii="Times New Roman" w:hAnsi="Times New Roman" w:eastAsia="宋体"/>
          <w:b/>
          <w:color w:val="000000"/>
          <w:sz w:val="28"/>
        </w:rPr>
        <w:t>六、总结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本模块完成了从单选输入到随机密文向量的转换，并通过真实测试验证了同态性、随机化和参数边界。后续改进应优先引入独热合法性证明和独立密钥保管，再考虑增加多选票型。</w:t>
      </w:r>
    </w:p>
    <w:p>
      <w:pPr>
        <w:pStyle w:val="ReportH2"/>
      </w:pPr>
      <w:r>
        <w:rPr>
          <w:rFonts w:ascii="Times New Roman" w:hAnsi="Times New Roman" w:eastAsia="宋体"/>
          <w:b/>
          <w:color w:val="000000"/>
          <w:sz w:val="24"/>
        </w:rPr>
        <w:t>6.1 安全局限与后续改进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系统未实现零知识证明、门限解密、证书认证及完整状态回滚保护。名单ID不是身份认证；私钥持有者能在程序之外解密单票；小群体结果可能暴露个体偏好。签名验证依赖最初可信配置，攻击者若同时替换所有配置、密钥与历史数据，本地应用无法自行建立原始信任。单文件原子写入不等于跨文件事务，当前只支持单机单写入者。</w:t>
      </w:r>
    </w:p>
    <w:p>
      <w:pPr>
        <w:pStyle w:val="ReportH2"/>
      </w:pPr>
      <w:r>
        <w:rPr>
          <w:rFonts w:ascii="Times New Roman" w:hAnsi="Times New Roman" w:eastAsia="宋体"/>
          <w:b/>
          <w:color w:val="000000"/>
          <w:sz w:val="24"/>
        </w:rPr>
        <w:t>6.2 分工验收与口试准备</w:t>
      </w:r>
    </w:p>
    <w:p>
      <w:pPr>
        <w:pStyle w:val="ReportBody"/>
      </w:pPr>
      <w:r>
        <w:t>为什么相同明文两次加密不同？r参与</w:t>
      </w:r>
      <w:r>
        <w:t>r</w:t>
      </w:r>
      <w:r>
        <w:rPr>
          <w:vertAlign w:val="superscript"/>
        </w:rPr>
        <w:t>n</w:t>
      </w:r>
      <w:r>
        <w:t>随机化。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nonce与Paillier的r是否相同？不是；前者是公开选票标识，后者是加密内部随机数。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增加一个选项如何处理？创建新轮次并增大向量维度，旧票不能混入。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个人验收建议：在自己电脑上重新运行本模块实验，保存截图和测试记录；现场修改一个参数或校验条件，说明修改影响；根据真实参与情况补全姓名、学号与个人总结。</w:t>
      </w:r>
    </w:p>
    <w:p>
      <w:pPr>
        <w:pStyle w:val="ReportH2"/>
      </w:pPr>
      <w:r>
        <w:rPr>
          <w:rFonts w:ascii="Times New Roman" w:hAnsi="Times New Roman" w:eastAsia="宋体"/>
          <w:b/>
          <w:color w:val="000000"/>
          <w:sz w:val="24"/>
        </w:rPr>
        <w:t>6.3 AI使用声明</w:t>
      </w:r>
    </w:p>
    <w:p>
      <w:pPr>
        <w:pStyle w:val="ReportBody"/>
      </w:pPr>
      <w:r>
        <w:t>本次使用OpenAI Codex辅助审查代码、修订报告、执行实验和拆分Git提交。初稿与本轮修改均有仓库记录，AI参与范围详见根目录AI使用声明.txt。A/B/C为模块责任标识，学生需据真实贡献补全个人信息和复核记录，并独立解释代码。</w:t>
      </w:r>
    </w:p>
    <w:p>
      <w:pPr>
        <w:pStyle w:val="ReportH2"/>
      </w:pPr>
      <w:r>
        <w:rPr>
          <w:rFonts w:ascii="Times New Roman" w:hAnsi="Times New Roman" w:eastAsia="宋体"/>
          <w:b/>
          <w:color w:val="000000"/>
          <w:sz w:val="24"/>
        </w:rPr>
        <w:t>参考资料</w:t>
      </w:r>
    </w:p>
    <w:p>
      <w:pPr>
        <w:pStyle w:val="ReportBody"/>
        <w:spacing w:line="288" w:lineRule="auto"/>
        <w:ind w:firstLine="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[1] 专业课程设计任务书 B230414 2026—2027第一学期。</w:t>
      </w:r>
    </w:p>
    <w:p>
      <w:pPr>
        <w:pStyle w:val="ReportBody"/>
        <w:spacing w:line="288" w:lineRule="auto"/>
        <w:ind w:firstLine="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[2] python-paillier API Documentation. https://python-paillier.readthedocs.io/en/stable/phe.html</w:t>
      </w:r>
    </w:p>
    <w:p>
      <w:pPr>
        <w:pStyle w:val="ReportBody"/>
        <w:spacing w:line="288" w:lineRule="auto"/>
        <w:ind w:firstLine="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[3] Cryptography Ed25519 signing. https://cryptography.io/en/latest/hazmat/primitives/asymmetric/ed25519/</w:t>
      </w:r>
    </w:p>
    <w:p>
      <w:pPr>
        <w:pStyle w:val="ReportBody"/>
        <w:spacing w:line="288" w:lineRule="auto"/>
        <w:ind w:firstLine="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[4] PyInstaller Using PyInstaller. https://pyinstaller.org/en/stable/usage.html</w:t>
      </w:r>
    </w:p>
    <w:sectPr>
      <w:footerReference r:id="rId3" w:type="default"/>
      <w:pgSz w:w="11906" w:h="16838"/>
      <w:pgMar w:top="1418" w:right="1134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6C7AAE">
    <w:pPr>
      <w:pStyle w:val="8"/>
      <w:jc w:val="center"/>
    </w:pPr>
    <w:r>
      <w:rPr>
        <w:rFonts w:ascii="Times New Roman" w:hAnsi="Times New Roman" w:eastAsia="宋体"/>
        <w:b w:val="0"/>
        <w:color w:val="000000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574762"/>
    <w:multiLevelType w:val="singleLevel"/>
    <w:tmpl w:val="06574762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cyYjBkN2E4YjIxNzNkNWExMzU0OWMxMDQ1NGNlNDUifQ=="/>
  </w:docVars>
  <w:rsids>
    <w:rsidRoot w:val="00172A27"/>
    <w:rsid w:val="00001145"/>
    <w:rsid w:val="000012C5"/>
    <w:rsid w:val="000111B1"/>
    <w:rsid w:val="00015F0A"/>
    <w:rsid w:val="00016D54"/>
    <w:rsid w:val="00022EF6"/>
    <w:rsid w:val="00035D80"/>
    <w:rsid w:val="000428BC"/>
    <w:rsid w:val="000515C9"/>
    <w:rsid w:val="00055E2A"/>
    <w:rsid w:val="00060EA9"/>
    <w:rsid w:val="000647CB"/>
    <w:rsid w:val="0007682E"/>
    <w:rsid w:val="00091A56"/>
    <w:rsid w:val="00094C74"/>
    <w:rsid w:val="000A57D7"/>
    <w:rsid w:val="000C452C"/>
    <w:rsid w:val="000C61FE"/>
    <w:rsid w:val="000D2703"/>
    <w:rsid w:val="000D3691"/>
    <w:rsid w:val="000D5128"/>
    <w:rsid w:val="000D58E1"/>
    <w:rsid w:val="000F1F10"/>
    <w:rsid w:val="001271A5"/>
    <w:rsid w:val="00130DB3"/>
    <w:rsid w:val="001454FD"/>
    <w:rsid w:val="00147349"/>
    <w:rsid w:val="001513C2"/>
    <w:rsid w:val="00153305"/>
    <w:rsid w:val="00172A27"/>
    <w:rsid w:val="00173AB9"/>
    <w:rsid w:val="001858EA"/>
    <w:rsid w:val="00186316"/>
    <w:rsid w:val="001915DA"/>
    <w:rsid w:val="001A3163"/>
    <w:rsid w:val="001A38D4"/>
    <w:rsid w:val="001A4666"/>
    <w:rsid w:val="001A5B5F"/>
    <w:rsid w:val="001A703E"/>
    <w:rsid w:val="001A7BEC"/>
    <w:rsid w:val="001C554F"/>
    <w:rsid w:val="001C74EC"/>
    <w:rsid w:val="001C77AB"/>
    <w:rsid w:val="001D41DC"/>
    <w:rsid w:val="001D5117"/>
    <w:rsid w:val="001D59FB"/>
    <w:rsid w:val="001E0887"/>
    <w:rsid w:val="001E1022"/>
    <w:rsid w:val="001E560E"/>
    <w:rsid w:val="001E613B"/>
    <w:rsid w:val="00203AE8"/>
    <w:rsid w:val="00214C6E"/>
    <w:rsid w:val="00221345"/>
    <w:rsid w:val="0023176C"/>
    <w:rsid w:val="002325CC"/>
    <w:rsid w:val="00236021"/>
    <w:rsid w:val="0025593A"/>
    <w:rsid w:val="002736C7"/>
    <w:rsid w:val="002771EA"/>
    <w:rsid w:val="00282906"/>
    <w:rsid w:val="00285955"/>
    <w:rsid w:val="00292F11"/>
    <w:rsid w:val="002C0BFF"/>
    <w:rsid w:val="002D2DD9"/>
    <w:rsid w:val="002D50DA"/>
    <w:rsid w:val="002E4431"/>
    <w:rsid w:val="002E6FF6"/>
    <w:rsid w:val="002F0678"/>
    <w:rsid w:val="002F1BA6"/>
    <w:rsid w:val="002F384C"/>
    <w:rsid w:val="002F7F26"/>
    <w:rsid w:val="00305805"/>
    <w:rsid w:val="00312A04"/>
    <w:rsid w:val="0031322C"/>
    <w:rsid w:val="00317AC6"/>
    <w:rsid w:val="0032697C"/>
    <w:rsid w:val="003468F8"/>
    <w:rsid w:val="00353F64"/>
    <w:rsid w:val="00354B4E"/>
    <w:rsid w:val="00360CEC"/>
    <w:rsid w:val="00361DD3"/>
    <w:rsid w:val="00361E15"/>
    <w:rsid w:val="003702E7"/>
    <w:rsid w:val="00380EE9"/>
    <w:rsid w:val="00385AF8"/>
    <w:rsid w:val="00387948"/>
    <w:rsid w:val="00390815"/>
    <w:rsid w:val="003B200E"/>
    <w:rsid w:val="003B4461"/>
    <w:rsid w:val="003C3BB5"/>
    <w:rsid w:val="003C5F2F"/>
    <w:rsid w:val="003D0034"/>
    <w:rsid w:val="003E643E"/>
    <w:rsid w:val="0040000F"/>
    <w:rsid w:val="004056DB"/>
    <w:rsid w:val="004118D4"/>
    <w:rsid w:val="00413988"/>
    <w:rsid w:val="00437DD8"/>
    <w:rsid w:val="004634D7"/>
    <w:rsid w:val="00477E5B"/>
    <w:rsid w:val="00482938"/>
    <w:rsid w:val="004A320E"/>
    <w:rsid w:val="004B127B"/>
    <w:rsid w:val="004B2EB3"/>
    <w:rsid w:val="004B5D6A"/>
    <w:rsid w:val="004D7DEC"/>
    <w:rsid w:val="004E24BB"/>
    <w:rsid w:val="004E69F8"/>
    <w:rsid w:val="0050796A"/>
    <w:rsid w:val="005254FB"/>
    <w:rsid w:val="00525B09"/>
    <w:rsid w:val="00530465"/>
    <w:rsid w:val="00532940"/>
    <w:rsid w:val="00540F66"/>
    <w:rsid w:val="00543144"/>
    <w:rsid w:val="00544AF3"/>
    <w:rsid w:val="005535FF"/>
    <w:rsid w:val="00555869"/>
    <w:rsid w:val="005558F6"/>
    <w:rsid w:val="0057212C"/>
    <w:rsid w:val="00572518"/>
    <w:rsid w:val="00572C59"/>
    <w:rsid w:val="00572C74"/>
    <w:rsid w:val="005762D0"/>
    <w:rsid w:val="00582130"/>
    <w:rsid w:val="0058560B"/>
    <w:rsid w:val="00585BC0"/>
    <w:rsid w:val="005879E7"/>
    <w:rsid w:val="00587F05"/>
    <w:rsid w:val="005A40FF"/>
    <w:rsid w:val="005A6514"/>
    <w:rsid w:val="005A7052"/>
    <w:rsid w:val="005B1197"/>
    <w:rsid w:val="005B370B"/>
    <w:rsid w:val="005C1814"/>
    <w:rsid w:val="005C1BDF"/>
    <w:rsid w:val="005C4162"/>
    <w:rsid w:val="005C6A4B"/>
    <w:rsid w:val="005C6C72"/>
    <w:rsid w:val="005F329F"/>
    <w:rsid w:val="005F6A46"/>
    <w:rsid w:val="00600141"/>
    <w:rsid w:val="00601ABA"/>
    <w:rsid w:val="00615FDC"/>
    <w:rsid w:val="00627E68"/>
    <w:rsid w:val="0064160B"/>
    <w:rsid w:val="006447DD"/>
    <w:rsid w:val="006466A1"/>
    <w:rsid w:val="00651047"/>
    <w:rsid w:val="00652222"/>
    <w:rsid w:val="00654E62"/>
    <w:rsid w:val="00664A7C"/>
    <w:rsid w:val="0068603B"/>
    <w:rsid w:val="00691F97"/>
    <w:rsid w:val="006966E1"/>
    <w:rsid w:val="006B25C0"/>
    <w:rsid w:val="006B60C8"/>
    <w:rsid w:val="006B72DC"/>
    <w:rsid w:val="006C3632"/>
    <w:rsid w:val="006C382F"/>
    <w:rsid w:val="006E6893"/>
    <w:rsid w:val="006F6AC0"/>
    <w:rsid w:val="00711091"/>
    <w:rsid w:val="0071249C"/>
    <w:rsid w:val="00714026"/>
    <w:rsid w:val="007217C5"/>
    <w:rsid w:val="0072393F"/>
    <w:rsid w:val="007273A5"/>
    <w:rsid w:val="00730A71"/>
    <w:rsid w:val="0073615F"/>
    <w:rsid w:val="00737C9C"/>
    <w:rsid w:val="00757ED5"/>
    <w:rsid w:val="00761A96"/>
    <w:rsid w:val="00791919"/>
    <w:rsid w:val="00793E7B"/>
    <w:rsid w:val="007A29A0"/>
    <w:rsid w:val="007B1F5A"/>
    <w:rsid w:val="007D348A"/>
    <w:rsid w:val="007E461B"/>
    <w:rsid w:val="007E7911"/>
    <w:rsid w:val="00815533"/>
    <w:rsid w:val="00815DEC"/>
    <w:rsid w:val="00817717"/>
    <w:rsid w:val="0082400B"/>
    <w:rsid w:val="00824BC5"/>
    <w:rsid w:val="00830015"/>
    <w:rsid w:val="008402E0"/>
    <w:rsid w:val="00842AA1"/>
    <w:rsid w:val="0084372F"/>
    <w:rsid w:val="008545C3"/>
    <w:rsid w:val="00863740"/>
    <w:rsid w:val="00864F9C"/>
    <w:rsid w:val="008A2A9A"/>
    <w:rsid w:val="008A3757"/>
    <w:rsid w:val="008A7EE1"/>
    <w:rsid w:val="008B1A7E"/>
    <w:rsid w:val="008C4B2F"/>
    <w:rsid w:val="008C4F76"/>
    <w:rsid w:val="008D6766"/>
    <w:rsid w:val="008F5E55"/>
    <w:rsid w:val="008F66FC"/>
    <w:rsid w:val="009102BA"/>
    <w:rsid w:val="009175D6"/>
    <w:rsid w:val="009202C6"/>
    <w:rsid w:val="00926387"/>
    <w:rsid w:val="00927EA7"/>
    <w:rsid w:val="00935C66"/>
    <w:rsid w:val="00953C11"/>
    <w:rsid w:val="00967ED6"/>
    <w:rsid w:val="00973234"/>
    <w:rsid w:val="009946A5"/>
    <w:rsid w:val="009966AE"/>
    <w:rsid w:val="009B1AFB"/>
    <w:rsid w:val="009B7114"/>
    <w:rsid w:val="009C14C8"/>
    <w:rsid w:val="009C2D9E"/>
    <w:rsid w:val="009D2A11"/>
    <w:rsid w:val="009E3C8A"/>
    <w:rsid w:val="009E644B"/>
    <w:rsid w:val="009F7BC9"/>
    <w:rsid w:val="00A15EA1"/>
    <w:rsid w:val="00A26567"/>
    <w:rsid w:val="00A51DF8"/>
    <w:rsid w:val="00A543FC"/>
    <w:rsid w:val="00A61F7A"/>
    <w:rsid w:val="00A72299"/>
    <w:rsid w:val="00A91015"/>
    <w:rsid w:val="00A939E7"/>
    <w:rsid w:val="00AA6A4F"/>
    <w:rsid w:val="00AB1BC0"/>
    <w:rsid w:val="00AB2A16"/>
    <w:rsid w:val="00AB5F56"/>
    <w:rsid w:val="00AB66DC"/>
    <w:rsid w:val="00AB6FF4"/>
    <w:rsid w:val="00AB7839"/>
    <w:rsid w:val="00AB78BB"/>
    <w:rsid w:val="00AC0CC1"/>
    <w:rsid w:val="00AD1689"/>
    <w:rsid w:val="00B0071F"/>
    <w:rsid w:val="00B35C74"/>
    <w:rsid w:val="00B41FAA"/>
    <w:rsid w:val="00B447EB"/>
    <w:rsid w:val="00B44A4B"/>
    <w:rsid w:val="00B471A0"/>
    <w:rsid w:val="00B60E78"/>
    <w:rsid w:val="00B62E35"/>
    <w:rsid w:val="00B72D95"/>
    <w:rsid w:val="00B746B7"/>
    <w:rsid w:val="00B758D9"/>
    <w:rsid w:val="00B7603B"/>
    <w:rsid w:val="00B77838"/>
    <w:rsid w:val="00B91130"/>
    <w:rsid w:val="00B92F4A"/>
    <w:rsid w:val="00BA0563"/>
    <w:rsid w:val="00BA7AD9"/>
    <w:rsid w:val="00BC5B68"/>
    <w:rsid w:val="00BD1809"/>
    <w:rsid w:val="00BD257C"/>
    <w:rsid w:val="00BD64FA"/>
    <w:rsid w:val="00BE078E"/>
    <w:rsid w:val="00C24C1B"/>
    <w:rsid w:val="00C25AF5"/>
    <w:rsid w:val="00C33A55"/>
    <w:rsid w:val="00C36470"/>
    <w:rsid w:val="00C366D8"/>
    <w:rsid w:val="00C5556F"/>
    <w:rsid w:val="00C5673C"/>
    <w:rsid w:val="00C57D9C"/>
    <w:rsid w:val="00C6144F"/>
    <w:rsid w:val="00C6235C"/>
    <w:rsid w:val="00C73110"/>
    <w:rsid w:val="00C90159"/>
    <w:rsid w:val="00C93ADB"/>
    <w:rsid w:val="00CC1AEF"/>
    <w:rsid w:val="00CD1E5B"/>
    <w:rsid w:val="00CD1F0B"/>
    <w:rsid w:val="00CE4437"/>
    <w:rsid w:val="00CF00DD"/>
    <w:rsid w:val="00D00726"/>
    <w:rsid w:val="00D047C1"/>
    <w:rsid w:val="00D06181"/>
    <w:rsid w:val="00D25A32"/>
    <w:rsid w:val="00D26C11"/>
    <w:rsid w:val="00D32511"/>
    <w:rsid w:val="00D4193F"/>
    <w:rsid w:val="00D455AD"/>
    <w:rsid w:val="00D46041"/>
    <w:rsid w:val="00D5525A"/>
    <w:rsid w:val="00D55C4C"/>
    <w:rsid w:val="00D61928"/>
    <w:rsid w:val="00D677E4"/>
    <w:rsid w:val="00D7665F"/>
    <w:rsid w:val="00D84FA3"/>
    <w:rsid w:val="00D91547"/>
    <w:rsid w:val="00DA22D5"/>
    <w:rsid w:val="00DA5C62"/>
    <w:rsid w:val="00DA7A99"/>
    <w:rsid w:val="00DB271C"/>
    <w:rsid w:val="00DC0585"/>
    <w:rsid w:val="00DD2C1D"/>
    <w:rsid w:val="00DD5370"/>
    <w:rsid w:val="00DD6A7A"/>
    <w:rsid w:val="00DE73CD"/>
    <w:rsid w:val="00DF21F4"/>
    <w:rsid w:val="00E05EDA"/>
    <w:rsid w:val="00E103CA"/>
    <w:rsid w:val="00E11178"/>
    <w:rsid w:val="00E27203"/>
    <w:rsid w:val="00E55E16"/>
    <w:rsid w:val="00E564CA"/>
    <w:rsid w:val="00E60ED0"/>
    <w:rsid w:val="00E6388C"/>
    <w:rsid w:val="00E6393D"/>
    <w:rsid w:val="00E65159"/>
    <w:rsid w:val="00E710C7"/>
    <w:rsid w:val="00E75EED"/>
    <w:rsid w:val="00E976BD"/>
    <w:rsid w:val="00EA0F1C"/>
    <w:rsid w:val="00EA183F"/>
    <w:rsid w:val="00EA478A"/>
    <w:rsid w:val="00EA6DF4"/>
    <w:rsid w:val="00EB4DA5"/>
    <w:rsid w:val="00EC6839"/>
    <w:rsid w:val="00EC68B1"/>
    <w:rsid w:val="00ED1DD1"/>
    <w:rsid w:val="00F03BB7"/>
    <w:rsid w:val="00F0427E"/>
    <w:rsid w:val="00F12714"/>
    <w:rsid w:val="00F14017"/>
    <w:rsid w:val="00F167BF"/>
    <w:rsid w:val="00F22D2F"/>
    <w:rsid w:val="00F32965"/>
    <w:rsid w:val="00F35C57"/>
    <w:rsid w:val="00F36543"/>
    <w:rsid w:val="00F437B9"/>
    <w:rsid w:val="00F54DDD"/>
    <w:rsid w:val="00F55619"/>
    <w:rsid w:val="00F600FF"/>
    <w:rsid w:val="00F63EC1"/>
    <w:rsid w:val="00F67469"/>
    <w:rsid w:val="00F67DF9"/>
    <w:rsid w:val="00F76CFC"/>
    <w:rsid w:val="00F76E39"/>
    <w:rsid w:val="00F830E2"/>
    <w:rsid w:val="00F85589"/>
    <w:rsid w:val="00F86044"/>
    <w:rsid w:val="00FA18BA"/>
    <w:rsid w:val="00FC00B4"/>
    <w:rsid w:val="00FC1102"/>
    <w:rsid w:val="00FC7256"/>
    <w:rsid w:val="00FD209C"/>
    <w:rsid w:val="00FD57E5"/>
    <w:rsid w:val="00FE0F8B"/>
    <w:rsid w:val="00FE1E59"/>
    <w:rsid w:val="00FE6CD7"/>
    <w:rsid w:val="00FF23C5"/>
    <w:rsid w:val="00FF41A3"/>
    <w:rsid w:val="031F4ED0"/>
    <w:rsid w:val="05DB4835"/>
    <w:rsid w:val="06491CCA"/>
    <w:rsid w:val="080745D9"/>
    <w:rsid w:val="092172BF"/>
    <w:rsid w:val="097A35C5"/>
    <w:rsid w:val="0D27197E"/>
    <w:rsid w:val="10E656C0"/>
    <w:rsid w:val="12844928"/>
    <w:rsid w:val="12D97684"/>
    <w:rsid w:val="184D6A75"/>
    <w:rsid w:val="192E7CAA"/>
    <w:rsid w:val="1B3C6908"/>
    <w:rsid w:val="1B7B3712"/>
    <w:rsid w:val="261A5CB1"/>
    <w:rsid w:val="2C5833FC"/>
    <w:rsid w:val="2E332A37"/>
    <w:rsid w:val="2E8957F9"/>
    <w:rsid w:val="329D0B59"/>
    <w:rsid w:val="3BCE1597"/>
    <w:rsid w:val="3D6514BF"/>
    <w:rsid w:val="3F231986"/>
    <w:rsid w:val="42612193"/>
    <w:rsid w:val="42AD6003"/>
    <w:rsid w:val="44597BC7"/>
    <w:rsid w:val="44715C23"/>
    <w:rsid w:val="4F96715E"/>
    <w:rsid w:val="56244A5C"/>
    <w:rsid w:val="56A003B7"/>
    <w:rsid w:val="579E5041"/>
    <w:rsid w:val="594740C8"/>
    <w:rsid w:val="597E190C"/>
    <w:rsid w:val="5A6122B2"/>
    <w:rsid w:val="64C019D5"/>
    <w:rsid w:val="6F5F7B6D"/>
    <w:rsid w:val="73DC40A1"/>
    <w:rsid w:val="74B731AC"/>
    <w:rsid w:val="EFFE9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Courier New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line="300" w:lineRule="auto"/>
      <w:jc w:val="center"/>
      <w:outlineLvl w:val="0"/>
    </w:pPr>
    <w:rPr>
      <w:rFonts w:ascii="Times New Roman" w:hAnsi="Times New Roman" w:cs="Times New Roman"/>
      <w:b/>
      <w:bCs/>
      <w:sz w:val="32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semiHidden/>
    <w:qFormat/>
    <w:uiPriority w:val="0"/>
    <w:pPr>
      <w:shd w:val="clear" w:color="auto" w:fill="000080"/>
    </w:pPr>
  </w:style>
  <w:style w:type="paragraph" w:styleId="4">
    <w:name w:val="annotation text"/>
    <w:basedOn w:val="1"/>
    <w:semiHidden/>
    <w:qFormat/>
    <w:uiPriority w:val="0"/>
    <w:pPr>
      <w:jc w:val="left"/>
    </w:pPr>
  </w:style>
  <w:style w:type="paragraph" w:styleId="5">
    <w:name w:val="Body Text"/>
    <w:basedOn w:val="1"/>
    <w:qFormat/>
    <w:uiPriority w:val="0"/>
    <w:pPr>
      <w:spacing w:line="360" w:lineRule="auto"/>
    </w:pPr>
    <w:rPr>
      <w:sz w:val="28"/>
    </w:rPr>
  </w:style>
  <w:style w:type="paragraph" w:styleId="6">
    <w:name w:val="Body Text Indent"/>
    <w:basedOn w:val="1"/>
    <w:qFormat/>
    <w:uiPriority w:val="0"/>
    <w:pPr>
      <w:ind w:firstLine="2325"/>
      <w:jc w:val="center"/>
    </w:pPr>
    <w:rPr>
      <w:rFonts w:ascii="Times New Roman" w:hAnsi="Times New Roman" w:cs="Times New Roman"/>
      <w:sz w:val="21"/>
    </w:rPr>
  </w:style>
  <w:style w:type="paragraph" w:styleId="7">
    <w:name w:val="Balloon Text"/>
    <w:basedOn w:val="1"/>
    <w:semiHidden/>
    <w:qFormat/>
    <w:uiPriority w:val="0"/>
    <w:rPr>
      <w:sz w:val="18"/>
      <w:szCs w:val="18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sz w:val="18"/>
      <w:szCs w:val="18"/>
    </w:rPr>
  </w:style>
  <w:style w:type="paragraph" w:styleId="9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sz w:val="18"/>
      <w:szCs w:val="18"/>
    </w:rPr>
  </w:style>
  <w:style w:type="paragraph" w:styleId="10">
    <w:name w:val="annotation subject"/>
    <w:basedOn w:val="4"/>
    <w:next w:val="4"/>
    <w:semiHidden/>
    <w:uiPriority w:val="0"/>
    <w:rPr>
      <w:b/>
      <w:bCs/>
    </w:rPr>
  </w:style>
  <w:style w:type="table" w:styleId="12">
    <w:name w:val="Table Grid"/>
    <w:basedOn w:val="11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annotation reference"/>
    <w:basedOn w:val="13"/>
    <w:semiHidden/>
    <w:qFormat/>
    <w:uiPriority w:val="0"/>
    <w:rPr>
      <w:sz w:val="21"/>
      <w:szCs w:val="21"/>
    </w:rPr>
  </w:style>
  <w:style w:type="character" w:customStyle="1" w:styleId="15">
    <w:name w:val="dbluetext1"/>
    <w:basedOn w:val="13"/>
    <w:qFormat/>
    <w:uiPriority w:val="0"/>
    <w:rPr>
      <w:rFonts w:hint="default" w:ascii="Arial" w:hAnsi="Arial" w:cs="Arial"/>
      <w:color w:val="003FB2"/>
      <w:sz w:val="13"/>
      <w:szCs w:val="13"/>
    </w:rPr>
  </w:style>
  <w:style w:type="paragraph" w:styleId="16">
    <w:name w:val="List Paragraph"/>
    <w:basedOn w:val="1"/>
    <w:qFormat/>
    <w:uiPriority w:val="99"/>
    <w:pPr>
      <w:ind w:firstLine="420" w:firstLineChars="200"/>
    </w:pPr>
  </w:style>
  <w:style w:type="paragraph" w:customStyle="1" w:styleId="ReportTitle">
    <w:name w:val="Report Title"/>
    <w:basedOn w:val="1"/>
    <w:pPr>
      <w:keepNext/>
      <w:widowControl/>
      <w:spacing w:after="60" w:before="120" w:line="360" w:lineRule="auto"/>
      <w:ind w:firstLine="0"/>
    </w:pPr>
    <w:rPr>
      <w:rFonts w:ascii="Times New Roman" w:hAnsi="Times New Roman" w:eastAsia="宋体"/>
      <w:b/>
      <w:sz w:val="32"/>
    </w:rPr>
  </w:style>
  <w:style w:type="paragraph" w:customStyle="1" w:styleId="ReportH1">
    <w:name w:val="Report H1"/>
    <w:basedOn w:val="1"/>
    <w:pPr>
      <w:keepNext/>
      <w:widowControl/>
      <w:spacing w:after="60" w:before="120" w:line="360" w:lineRule="auto"/>
      <w:ind w:firstLine="0"/>
      <w:outlineLvl w:val="0"/>
    </w:pPr>
    <w:rPr>
      <w:rFonts w:ascii="Times New Roman" w:hAnsi="Times New Roman" w:eastAsia="宋体"/>
      <w:b/>
      <w:sz w:val="28"/>
    </w:rPr>
  </w:style>
  <w:style w:type="paragraph" w:customStyle="1" w:styleId="ReportH2">
    <w:name w:val="Report H2"/>
    <w:basedOn w:val="1"/>
    <w:pPr>
      <w:keepNext/>
      <w:widowControl/>
      <w:spacing w:after="60" w:before="120" w:line="360" w:lineRule="auto"/>
      <w:ind w:firstLine="0"/>
      <w:outlineLvl w:val="1"/>
    </w:pPr>
    <w:rPr>
      <w:rFonts w:ascii="Times New Roman" w:hAnsi="Times New Roman" w:eastAsia="宋体"/>
      <w:b/>
      <w:sz w:val="24"/>
    </w:rPr>
  </w:style>
  <w:style w:type="paragraph" w:customStyle="1" w:styleId="ReportBody">
    <w:name w:val="Report Body"/>
    <w:basedOn w:val="1"/>
    <w:pPr>
      <w:keepLines/>
      <w:widowControl/>
      <w:spacing w:after="0" w:before="0" w:line="360" w:lineRule="auto"/>
      <w:ind w:firstLine="480"/>
    </w:pPr>
    <w:rPr>
      <w:rFonts w:ascii="Times New Roman" w:hAnsi="Times New Roman" w:eastAsia="宋体"/>
      <w:b w:val="0"/>
      <w:sz w:val="24"/>
    </w:rPr>
  </w:style>
  <w:style w:type="paragraph" w:customStyle="1" w:styleId="ReportCaption">
    <w:name w:val="Report Caption"/>
    <w:basedOn w:val="1"/>
    <w:pPr>
      <w:widowControl/>
      <w:spacing w:after="120" w:before="0" w:line="360" w:lineRule="auto"/>
      <w:ind w:firstLine="0"/>
      <w:jc w:val="center"/>
    </w:pPr>
    <w:rPr>
      <w:rFonts w:ascii="Times New Roman" w:hAnsi="Times New Roman" w:eastAsia="宋体"/>
      <w:b w:val="0"/>
      <w:sz w:val="21"/>
    </w:rPr>
  </w:style>
  <w:style w:type="paragraph" w:customStyle="1" w:styleId="ReportCode">
    <w:name w:val="Report Code"/>
    <w:basedOn w:val="1"/>
    <w:pPr>
      <w:keepLines/>
      <w:widowControl/>
      <w:spacing w:after="0" w:before="0" w:line="240" w:lineRule="auto"/>
      <w:ind w:firstLine="0" w:left="240"/>
      <w:jc w:val="left"/>
    </w:pPr>
    <w:rPr>
      <w:rFonts w:ascii="Consolas" w:hAnsi="Consolas" w:eastAsia="新宋体"/>
      <w:b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2A7D56-D8A7-45D7-B562-C245C6F835C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4</Pages>
  <Words>789</Words>
  <Characters>4500</Characters>
  <Lines>37</Lines>
  <Paragraphs>10</Paragraphs>
  <TotalTime>16</TotalTime>
  <ScaleCrop>false</ScaleCrop>
  <LinksUpToDate>false</LinksUpToDate>
  <CharactersWithSpaces>5279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2022-10-23T19:03:00Z</dcterms:created>
  <dc:creator>朱立华</dc:creator>
  <cp:lastModifiedBy>吴严生</cp:lastModifiedBy>
  <dcterms:modified xsi:type="dcterms:W3CDTF">2026-10-26T08:44:15Z</dcterms:modified>
  <dc:title>程序设计报告封面_06new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9DD1E9AF3D3A4E5FA904EEDE65F3B228</vt:lpwstr>
  </property>
</Properties>
</file>