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43752D">
      <w:pPr>
        <w:tabs>
          <w:tab w:val="left" w:pos="6870"/>
        </w:tabs>
      </w:pPr>
    </w:p>
    <w:p w14:paraId="35F2E9D5">
      <w:pPr>
        <w:tabs>
          <w:tab w:val="left" w:pos="6870"/>
        </w:tabs>
      </w:pPr>
    </w:p>
    <w:p w14:paraId="430169D8">
      <w:pPr>
        <w:tabs>
          <w:tab w:val="left" w:pos="6870"/>
        </w:tabs>
      </w:pPr>
    </w:p>
    <w:p w14:paraId="284658AA">
      <w:pPr>
        <w:tabs>
          <w:tab w:val="left" w:pos="6870"/>
        </w:tabs>
      </w:pPr>
    </w:p>
    <w:p w14:paraId="2DC43964">
      <w:pPr>
        <w:tabs>
          <w:tab w:val="left" w:pos="6870"/>
        </w:tabs>
      </w:pPr>
    </w:p>
    <w:p w14:paraId="5BDA7DAE">
      <w:pPr>
        <w:tabs>
          <w:tab w:val="left" w:pos="6870"/>
        </w:tabs>
      </w:pPr>
    </w:p>
    <w:p w14:paraId="68145992">
      <w:pPr>
        <w:tabs>
          <w:tab w:val="left" w:pos="6870"/>
        </w:tabs>
      </w:pPr>
    </w:p>
    <w:p w14:paraId="6FBD1C50">
      <w:pPr>
        <w:tabs>
          <w:tab w:val="left" w:pos="6870"/>
        </w:tabs>
        <w:jc w:val="center"/>
      </w:pPr>
      <w:r>
        <w:object>
          <v:shape id="_x0000_i1025" o:spt="75" type="#_x0000_t75" style="height:57.6pt;width:235.6pt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  <o:OLEObject Type="Embed" ProgID="PBrush" ShapeID="_x0000_i1025" DrawAspect="Content" ObjectID="_1468075725" r:id="rId5">
            <o:LockedField>false</o:LockedField>
          </o:OLEObject>
        </w:object>
      </w:r>
    </w:p>
    <w:p w14:paraId="44F426F1">
      <w:pPr>
        <w:tabs>
          <w:tab w:val="left" w:pos="6870"/>
        </w:tabs>
        <w:jc w:val="center"/>
        <w:rPr>
          <w:rFonts w:ascii="Times New Roman" w:hAnsi="Times New Roman" w:eastAsia="黑体" w:cs="Times New Roman"/>
          <w:sz w:val="72"/>
        </w:rPr>
      </w:pPr>
      <w:r>
        <w:rPr>
          <w:rFonts w:hint="eastAsia" w:ascii="黑体" w:eastAsia="黑体"/>
          <w:sz w:val="72"/>
        </w:rPr>
        <w:t>专业课程设计</w:t>
      </w:r>
      <w:r>
        <w:rPr>
          <w:rFonts w:hint="eastAsia" w:ascii="Times New Roman" w:hAnsi="Times New Roman" w:eastAsia="黑体" w:cs="Times New Roman"/>
          <w:sz w:val="72"/>
        </w:rPr>
        <w:t>报告</w:t>
      </w:r>
    </w:p>
    <w:p w14:paraId="6586CB62">
      <w:pPr>
        <w:tabs>
          <w:tab w:val="left" w:pos="6870"/>
        </w:tabs>
        <w:spacing w:before="156" w:beforeLines="50"/>
        <w:jc w:val="center"/>
        <w:rPr>
          <w:rFonts w:ascii="黑体" w:eastAsia="黑体"/>
          <w:sz w:val="30"/>
        </w:rPr>
      </w:pPr>
      <w:r>
        <w:rPr>
          <w:rFonts w:hint="eastAsia" w:ascii="黑体" w:eastAsia="黑体"/>
          <w:sz w:val="30"/>
        </w:rPr>
        <w:t>（ 20</w:t>
      </w:r>
      <w:r>
        <w:rPr>
          <w:rFonts w:ascii="黑体" w:eastAsia="黑体"/>
          <w:sz w:val="30"/>
        </w:rPr>
        <w:t>2</w:t>
      </w:r>
      <w:r>
        <w:rPr>
          <w:rFonts w:hint="eastAsia" w:ascii="黑体" w:eastAsia="黑体"/>
          <w:sz w:val="30"/>
          <w:lang w:val="en-US" w:eastAsia="zh-CN"/>
        </w:rPr>
        <w:t>6</w:t>
      </w:r>
      <w:r>
        <w:rPr>
          <w:rFonts w:hint="eastAsia" w:ascii="黑体" w:eastAsia="黑体"/>
          <w:sz w:val="30"/>
        </w:rPr>
        <w:t>/ 202</w:t>
      </w:r>
      <w:r>
        <w:rPr>
          <w:rFonts w:hint="eastAsia" w:ascii="黑体" w:eastAsia="黑体"/>
          <w:sz w:val="30"/>
          <w:lang w:val="en-US" w:eastAsia="zh-CN"/>
        </w:rPr>
        <w:t>7</w:t>
      </w:r>
      <w:r>
        <w:rPr>
          <w:rFonts w:hint="eastAsia" w:ascii="黑体" w:eastAsia="黑体"/>
          <w:sz w:val="30"/>
        </w:rPr>
        <w:t>学年 第 一 学期）</w:t>
      </w:r>
    </w:p>
    <w:p w14:paraId="7F3554A6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3BFD73A5">
      <w:pPr>
        <w:tabs>
          <w:tab w:val="left" w:pos="6870"/>
        </w:tabs>
        <w:ind w:firstLine="2160"/>
        <w:rPr>
          <w:rFonts w:ascii="黑体" w:eastAsia="黑体"/>
          <w:sz w:val="44"/>
        </w:rPr>
      </w:pPr>
    </w:p>
    <w:p w14:paraId="054A46DA">
      <w:pPr>
        <w:tabs>
          <w:tab w:val="left" w:pos="6870"/>
        </w:tabs>
        <w:ind w:firstLine="0" w:left="1080"/>
        <w:rPr>
          <w:sz w:val="44"/>
          <w:szCs w:val="44"/>
          <w:u w:val="single"/>
        </w:rPr>
      </w:pPr>
      <w:r>
        <w:rPr>
          <w:rFonts w:hint="eastAsia" w:ascii="黑体" w:eastAsia="黑体" w:hAnsi="黑体"/>
          <w:b w:val="0"/>
          <w:color w:val="000000"/>
          <w:sz w:val="44"/>
        </w:rPr>
        <w:t>题   目：基于同态加密的</w:t>
      </w:r>
      <w:r>
        <w:rPr>
          <w:rFonts w:hint="eastAsia" w:ascii="黑体" w:hAnsi="黑体" w:eastAsia="黑体"/>
          <w:b w:val="0"/>
          <w:color w:val="000000"/>
          <w:sz w:val="44"/>
          <w:szCs w:val="44"/>
          <w:u w:val="single"/>
        </w:rPr>
      </w:r>
      <w:r>
        <w:rPr>
          <w:rFonts w:ascii="黑体" w:hAnsi="黑体" w:eastAsia="黑体"/>
          <w:b w:val="0"/>
          <w:color w:val="000000"/>
          <w:sz w:val="44"/>
          <w:szCs w:val="44"/>
          <w:u w:val="single"/>
        </w:rPr>
      </w:r>
      <w:r>
        <w:rPr>
          <w:rFonts w:hint="eastAsia" w:ascii="黑体" w:hAnsi="黑体" w:eastAsia="黑体"/>
          <w:b w:val="0"/>
          <w:color w:val="000000"/>
          <w:sz w:val="44"/>
          <w:szCs w:val="44"/>
          <w:u w:val="single"/>
        </w:rPr>
      </w:r>
    </w:p>
    <w:p w14:paraId="0D8CDEBB">
      <w:pPr>
        <w:tabs>
          <w:tab w:val="left" w:pos="6870"/>
        </w:tabs>
        <w:ind w:firstLine="0" w:left="3060"/>
        <w:rPr>
          <w:sz w:val="44"/>
          <w:szCs w:val="44"/>
          <w:u w:val="single"/>
        </w:rPr>
      </w:pPr>
      <w:r>
        <w:rPr>
          <w:rFonts w:hint="eastAsia" w:ascii="黑体" w:hAnsi="黑体" w:eastAsia="黑体"/>
          <w:b w:val="0"/>
          <w:color w:val="000000"/>
          <w:sz w:val="44"/>
          <w:szCs w:val="44"/>
        </w:rPr>
        <w:t>隐私保护投票系统</w:t>
      </w:r>
      <w:r>
        <w:rPr>
          <w:rFonts w:hint="eastAsia" w:ascii="黑体" w:hAnsi="黑体" w:eastAsia="黑体"/>
          <w:b w:val="0"/>
          <w:color w:val="000000"/>
          <w:sz w:val="44"/>
          <w:szCs w:val="44"/>
          <w:u w:val="single"/>
        </w:rPr>
      </w:r>
      <w:r>
        <w:rPr>
          <w:rFonts w:ascii="黑体" w:hAnsi="黑体" w:eastAsia="黑体"/>
          <w:b w:val="0"/>
          <w:color w:val="000000"/>
          <w:sz w:val="44"/>
          <w:szCs w:val="44"/>
          <w:u w:val="single"/>
        </w:rPr>
      </w:r>
      <w:r>
        <w:rPr>
          <w:rFonts w:hint="eastAsia" w:ascii="黑体" w:hAnsi="黑体" w:eastAsia="黑体"/>
          <w:b w:val="0"/>
          <w:color w:val="000000"/>
          <w:sz w:val="44"/>
          <w:szCs w:val="44"/>
          <w:u w:val="single"/>
        </w:rPr>
      </w:r>
    </w:p>
    <w:p w14:paraId="704974FC">
      <w:pPr>
        <w:spacing w:line="360" w:lineRule="auto"/>
        <w:jc w:val="center"/>
        <w:rPr>
          <w:b/>
          <w:bCs/>
          <w:sz w:val="32"/>
          <w:u w:val="single"/>
        </w:rPr>
      </w:pPr>
    </w:p>
    <w:p w14:paraId="4D19EB92">
      <w:pPr>
        <w:tabs>
          <w:tab w:val="left" w:pos="6870"/>
        </w:tabs>
        <w:rPr>
          <w:rFonts w:ascii="黑体" w:eastAsia="黑体"/>
          <w:sz w:val="44"/>
        </w:rPr>
      </w:pPr>
    </w:p>
    <w:tbl>
      <w:tblPr>
        <w:tblStyle w:val="12"/>
        <w:tblW w:w="63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6"/>
        <w:gridCol w:w="3754"/>
      </w:tblGrid>
      <w:tr w14:paraId="1CBD90A0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766F1BF9">
            <w:pPr>
              <w:tabs>
                <w:tab w:val="left" w:pos="6870"/>
              </w:tabs>
              <w:ind w:left="120" w:leftChars="5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专          业</w:t>
            </w:r>
          </w:p>
        </w:tc>
        <w:tc>
          <w:tcPr>
            <w:tcW w:w="3754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bottom"/>
          </w:tcPr>
          <w:p w14:paraId="1F911ACB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信息安全</w:t>
            </w:r>
          </w:p>
        </w:tc>
      </w:tr>
      <w:tr w14:paraId="42EE1817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2F620A6A">
            <w:pPr>
              <w:tabs>
                <w:tab w:val="left" w:pos="6870"/>
              </w:tabs>
              <w:ind w:left="120" w:leftChars="5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学  生  姓  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5F365880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30"/>
              </w:rPr>
              <w:t>成员B  姓名：________</w:t>
            </w:r>
          </w:p>
        </w:tc>
      </w:tr>
      <w:tr w14:paraId="064B8595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431F1248">
            <w:pPr>
              <w:tabs>
                <w:tab w:val="left" w:pos="6870"/>
              </w:tabs>
              <w:ind w:left="120" w:leftChars="50"/>
              <w:rPr>
                <w:b/>
                <w:bCs/>
                <w:sz w:val="30"/>
              </w:rPr>
            </w:pPr>
            <w:r>
              <w:rPr>
                <w:rFonts w:hint="eastAsia"/>
                <w:b/>
                <w:bCs/>
                <w:sz w:val="30"/>
              </w:rPr>
              <w:t>班  级  学  号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A0D2B86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30"/>
              </w:rPr>
              <w:t>B230414  学号：________</w:t>
            </w:r>
          </w:p>
        </w:tc>
      </w:tr>
      <w:tr w14:paraId="7F3CB1B3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1A5046B3">
            <w:pPr>
              <w:tabs>
                <w:tab w:val="left" w:pos="6870"/>
              </w:tabs>
              <w:ind w:left="120" w:leftChars="5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教  师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14B502E4">
            <w:pPr>
              <w:tabs>
                <w:tab w:val="left" w:pos="6870"/>
              </w:tabs>
              <w:jc w:val="center"/>
              <w:rPr>
                <w:rFonts w:hint="eastAsia" w:eastAsia="宋体"/>
                <w:b/>
                <w:sz w:val="30"/>
                <w:szCs w:val="30"/>
                <w:lang w:eastAsia="zh-CN"/>
              </w:rPr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吴严生</w:t>
            </w:r>
          </w:p>
        </w:tc>
      </w:tr>
      <w:tr w14:paraId="37B439BC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567A2E2A">
            <w:pPr>
              <w:tabs>
                <w:tab w:val="left" w:pos="6870"/>
              </w:tabs>
              <w:ind w:left="120" w:leftChars="5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指  导  单  位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bottom"/>
          </w:tcPr>
          <w:p w14:paraId="2849F121">
            <w:pPr>
              <w:tabs>
                <w:tab w:val="left" w:pos="6870"/>
              </w:tabs>
              <w:spacing w:line="240" w:lineRule="atLeast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28"/>
                <w:szCs w:val="28"/>
              </w:rPr>
              <w:t>计算机学院、软件学院、网络空间安全学院</w:t>
            </w:r>
          </w:p>
        </w:tc>
      </w:tr>
      <w:tr w14:paraId="201E9398">
        <w:trPr>
          <w:jc w:val="center"/>
        </w:trPr>
        <w:tc>
          <w:tcPr>
            <w:tcW w:w="2566" w:type="dxa"/>
            <w:tcBorders>
              <w:top w:val="nil"/>
              <w:left w:val="nil"/>
              <w:bottom w:val="nil"/>
              <w:right w:val="nil"/>
            </w:tcBorders>
          </w:tcPr>
          <w:p w14:paraId="1817A45C">
            <w:pPr>
              <w:tabs>
                <w:tab w:val="left" w:pos="6870"/>
              </w:tabs>
              <w:ind w:left="120" w:leftChars="50"/>
              <w:rPr>
                <w:rFonts w:ascii="黑体" w:eastAsia="黑体"/>
                <w:sz w:val="44"/>
              </w:rPr>
            </w:pPr>
            <w:r>
              <w:rPr>
                <w:rFonts w:hint="eastAsia"/>
                <w:b/>
                <w:bCs/>
                <w:sz w:val="30"/>
              </w:rPr>
              <w:t>日          期</w:t>
            </w:r>
          </w:p>
        </w:tc>
        <w:tc>
          <w:tcPr>
            <w:tcW w:w="3754" w:type="dxa"/>
            <w:tcBorders>
              <w:top w:val="single" w:color="auto" w:sz="4" w:space="0"/>
              <w:left w:val="nil"/>
              <w:right w:val="nil"/>
            </w:tcBorders>
            <w:vAlign w:val="bottom"/>
          </w:tcPr>
          <w:p w14:paraId="5E0926B3">
            <w:pPr>
              <w:tabs>
                <w:tab w:val="left" w:pos="6870"/>
              </w:tabs>
              <w:jc w:val="center"/>
              <w:rPr>
                <w:b/>
                <w:sz w:val="30"/>
                <w:szCs w:val="30"/>
              </w:rPr>
            </w:pPr>
            <w:r>
              <w:rPr>
                <w:rFonts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  <w:t>2026.10.26—2026.11.06</w:t>
            </w:r>
            <w:r>
              <w:rPr>
                <w:rFonts w:hint="eastAsia" w:ascii="Times New Roman" w:hAnsi="Times New Roman" w:cs="Times New Roman" w:eastAsia="宋体"/>
                <w:b w:val="0"/>
                <w:color w:val="000000"/>
                <w:sz w:val="30"/>
                <w:szCs w:val="30"/>
                <w:lang w:val="en-US" w:eastAsia="zh-CN"/>
              </w:rPr>
            </w:r>
            <w:r>
              <w:rPr>
                <w:rFonts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</w:r>
            <w:r>
              <w:rPr>
                <w:rFonts w:hint="eastAsia" w:ascii="Times New Roman" w:hAnsi="Times New Roman" w:cs="Times New Roman" w:eastAsia="宋体"/>
                <w:b w:val="0"/>
                <w:color w:val="000000"/>
                <w:sz w:val="30"/>
                <w:szCs w:val="30"/>
                <w:lang w:val="en-US" w:eastAsia="zh-CN"/>
              </w:rPr>
            </w:r>
            <w:r>
              <w:rPr>
                <w:rFonts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</w:r>
            <w:r>
              <w:rPr>
                <w:rFonts w:hint="eastAsia"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</w:r>
            <w:r>
              <w:rPr>
                <w:rFonts w:ascii="Times New Roman" w:hAnsi="Times New Roman" w:cs="Times New Roman" w:eastAsia="宋体"/>
                <w:b w:val="0"/>
                <w:color w:val="000000"/>
                <w:sz w:val="30"/>
                <w:szCs w:val="30"/>
              </w:rPr>
            </w:r>
          </w:p>
        </w:tc>
      </w:tr>
    </w:tbl>
    <w:p>
      <w:pPr>
        <w:pageBreakBefore/>
        <w:spacing w:after="0" w:before="0" w:line="20" w:lineRule="exact"/>
      </w:pPr>
      <w:r>
        <w:rPr>
          <w:sz w:val="2"/>
        </w:rPr>
      </w:r>
    </w:p>
    <w:tbl>
      <w:tblPr>
        <w:tblStyle w:val="11"/>
        <w:tblW w:w="9524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5"/>
        <w:gridCol w:w="5313"/>
        <w:gridCol w:w="1316"/>
      </w:tblGrid>
      <w:tr w14:paraId="78B71AE5">
        <w:trPr>
          <w:cantSplit/>
          <w:trHeight w:val="693" w:hRule="atLeast"/>
        </w:trPr>
        <w:tc>
          <w:tcPr>
            <w:tcW w:w="2895" w:type="dxa"/>
            <w:tcBorders>
              <w:top w:val="single" w:color="auto" w:sz="4" w:space="0"/>
            </w:tcBorders>
            <w:vAlign w:val="center"/>
          </w:tcPr>
          <w:p w14:paraId="341C74D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课程目标</w:t>
            </w:r>
          </w:p>
        </w:tc>
        <w:tc>
          <w:tcPr>
            <w:tcW w:w="5313" w:type="dxa"/>
            <w:tcBorders>
              <w:top w:val="single" w:color="auto" w:sz="4" w:space="0"/>
            </w:tcBorders>
            <w:vAlign w:val="center"/>
          </w:tcPr>
          <w:p w14:paraId="42BB8FB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评价准则</w:t>
            </w:r>
          </w:p>
        </w:tc>
        <w:tc>
          <w:tcPr>
            <w:tcW w:w="1316" w:type="dxa"/>
            <w:tcBorders>
              <w:top w:val="single" w:color="auto" w:sz="4" w:space="0"/>
            </w:tcBorders>
            <w:vAlign w:val="center"/>
          </w:tcPr>
          <w:p w14:paraId="3084FBA8">
            <w:pPr>
              <w:jc w:val="center"/>
            </w:pPr>
            <w:r>
              <w:rPr>
                <w:rFonts w:ascii="Times New Roman" w:hAnsi="Times New Roman" w:cs="Times New Roman"/>
                <w:b/>
              </w:rPr>
              <w:t>计分（每项10分）</w:t>
            </w:r>
          </w:p>
        </w:tc>
      </w:tr>
      <w:tr w14:paraId="0251F9B4">
        <w:trPr>
          <w:cantSplit/>
          <w:trHeight w:val="700" w:hRule="atLeast"/>
        </w:trPr>
        <w:tc>
          <w:tcPr>
            <w:tcW w:w="2895" w:type="dxa"/>
            <w:vMerge w:val="restart"/>
            <w:vAlign w:val="center"/>
          </w:tcPr>
          <w:p w14:paraId="238FAC3E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课程目标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1：通过课程设计，培养学生综合应用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信息安全、计算机技术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等领域专业知识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的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技能。（20分）</w:t>
            </w:r>
          </w:p>
        </w:tc>
        <w:tc>
          <w:tcPr>
            <w:tcW w:w="5313" w:type="dxa"/>
            <w:vAlign w:val="center"/>
          </w:tcPr>
          <w:p w14:paraId="59CF9379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1、能够掌握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信息安全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的相关基础知识，并能够针对求解的工程问题，收集资料进行合理的分析与设计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Align w:val="center"/>
          </w:tcPr>
          <w:p w14:paraId="0B5977B4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61379F22">
        <w:trPr>
          <w:cantSplit/>
        </w:trPr>
        <w:tc>
          <w:tcPr>
            <w:tcW w:w="2895" w:type="dxa"/>
            <w:vMerge w:val="continue"/>
            <w:vAlign w:val="center"/>
          </w:tcPr>
          <w:p w14:paraId="1DE5228B">
            <w:pPr>
              <w:spacing w:before="93" w:beforeLines="30" w:after="93" w:afterLines="3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313" w:type="dxa"/>
            <w:vAlign w:val="center"/>
          </w:tcPr>
          <w:p w14:paraId="7A6AF228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2、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从软件的分析、设计到编制调试，结合计算机网络理论知识、编程语言以及程序设计的方法，能够解决一个和信息安全相关的问题。</w:t>
            </w:r>
          </w:p>
        </w:tc>
        <w:tc>
          <w:tcPr>
            <w:tcW w:w="1316" w:type="dxa"/>
            <w:vAlign w:val="center"/>
          </w:tcPr>
          <w:p w14:paraId="73D8DA32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004BEEC7">
        <w:trPr>
          <w:cantSplit/>
        </w:trPr>
        <w:tc>
          <w:tcPr>
            <w:tcW w:w="2895" w:type="dxa"/>
            <w:vMerge w:val="restart"/>
            <w:vAlign w:val="center"/>
          </w:tcPr>
          <w:p w14:paraId="2DE0B5A4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目标2：解决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信息安全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领域复杂工程问题的实践创新能力。（20分）</w:t>
            </w:r>
          </w:p>
        </w:tc>
        <w:tc>
          <w:tcPr>
            <w:tcW w:w="5313" w:type="dxa"/>
            <w:vAlign w:val="center"/>
          </w:tcPr>
          <w:p w14:paraId="20A529B3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3、通过调研，能够选择合适的程序设计语言与编程开发平台，对求解的工程问题进行编程实现。</w:t>
            </w:r>
          </w:p>
        </w:tc>
        <w:tc>
          <w:tcPr>
            <w:tcW w:w="1316" w:type="dxa"/>
            <w:vAlign w:val="center"/>
          </w:tcPr>
          <w:p w14:paraId="7B3D78B0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31E7BE8A">
        <w:trPr>
          <w:cantSplit/>
        </w:trPr>
        <w:tc>
          <w:tcPr>
            <w:tcW w:w="2895" w:type="dxa"/>
            <w:vMerge w:val="continue"/>
            <w:vAlign w:val="center"/>
          </w:tcPr>
          <w:p w14:paraId="7C13FF10">
            <w:pPr>
              <w:spacing w:before="93" w:beforeLines="30" w:after="93" w:afterLines="30"/>
              <w:jc w:val="left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5313" w:type="dxa"/>
            <w:vAlign w:val="center"/>
          </w:tcPr>
          <w:p w14:paraId="262D008D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4、具备一定的人机交互设计意识，人机交互设计合理、友好，操作简便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Align w:val="center"/>
          </w:tcPr>
          <w:p w14:paraId="277AED20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5529864B">
        <w:trPr>
          <w:cantSplit/>
        </w:trPr>
        <w:tc>
          <w:tcPr>
            <w:tcW w:w="2895" w:type="dxa"/>
            <w:vAlign w:val="center"/>
          </w:tcPr>
          <w:p w14:paraId="22858CC6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课程目标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3：文献调研与资料收集能力，问题发现、研究、分析与解决能力。（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1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0分）</w:t>
            </w:r>
          </w:p>
        </w:tc>
        <w:tc>
          <w:tcPr>
            <w:tcW w:w="5313" w:type="dxa"/>
            <w:vAlign w:val="center"/>
          </w:tcPr>
          <w:p w14:paraId="78765D32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5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具备一定自学能力与探索创新意识，能够充分利用教科书及其资源（如网络等）自学新知识与新技能。</w:t>
            </w:r>
          </w:p>
        </w:tc>
        <w:tc>
          <w:tcPr>
            <w:tcW w:w="1316" w:type="dxa"/>
            <w:vAlign w:val="center"/>
          </w:tcPr>
          <w:p w14:paraId="6FE23C20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1C2702A3">
        <w:trPr>
          <w:cantSplit/>
        </w:trPr>
        <w:tc>
          <w:tcPr>
            <w:tcW w:w="2895" w:type="dxa"/>
            <w:vMerge w:val="restart"/>
            <w:vAlign w:val="center"/>
          </w:tcPr>
          <w:p w14:paraId="3511D007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目标4：培养工程工具运用能力，能够利用仿真软件或实验系统对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信息安全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系统进行模拟和预测，并理解仿真软件或实验硬件的局限性。（20分）</w:t>
            </w:r>
          </w:p>
        </w:tc>
        <w:tc>
          <w:tcPr>
            <w:tcW w:w="5313" w:type="dxa"/>
            <w:vAlign w:val="center"/>
          </w:tcPr>
          <w:p w14:paraId="07665BC9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6、能够结合计算机软硬件资源，合理选用算法、数据结构、数据存储方式等技术手段，理解相关算法，对求解的工程问题进行有效建模和求解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Align w:val="center"/>
          </w:tcPr>
          <w:p w14:paraId="7CDBED2E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16C06164">
        <w:trPr>
          <w:cantSplit/>
        </w:trPr>
        <w:tc>
          <w:tcPr>
            <w:tcW w:w="2895" w:type="dxa"/>
            <w:vMerge w:val="continue"/>
            <w:vAlign w:val="center"/>
          </w:tcPr>
          <w:p w14:paraId="1F9CE3AF">
            <w:pPr>
              <w:spacing w:before="93" w:beforeLines="30" w:after="93" w:afterLines="30"/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60D77A74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7、掌握调试方法与工具，对程序开发过程中出现的问题进行分析、跟踪与调试，并能够进行充分测试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Align w:val="center"/>
          </w:tcPr>
          <w:p w14:paraId="458191BA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3A298B71">
        <w:trPr>
          <w:cantSplit/>
        </w:trPr>
        <w:tc>
          <w:tcPr>
            <w:tcW w:w="2895" w:type="dxa"/>
            <w:vMerge w:val="restart"/>
            <w:vAlign w:val="center"/>
          </w:tcPr>
          <w:p w14:paraId="6D65047B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课程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目标5：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分组完成一次项目设计与开发的全过程，组内成员通过讨论和交流解决课程设计中的难题，能在实验报告中准确阐述课程设计的内容，能够清晰陈述观点和回答问题。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（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3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0分）</w:t>
            </w:r>
          </w:p>
        </w:tc>
        <w:tc>
          <w:tcPr>
            <w:tcW w:w="5313" w:type="dxa"/>
            <w:vAlign w:val="center"/>
          </w:tcPr>
          <w:p w14:paraId="5769C3A4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8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、组内成员之间有一定的团队合作，互通有无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Merge w:val="restart"/>
            <w:vAlign w:val="center"/>
          </w:tcPr>
          <w:p w14:paraId="0F834638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157125D2">
        <w:trPr>
          <w:cantSplit/>
          <w:trHeight w:val="1433" w:hRule="atLeast"/>
        </w:trPr>
        <w:tc>
          <w:tcPr>
            <w:tcW w:w="2895" w:type="dxa"/>
            <w:vMerge w:val="continue"/>
            <w:vAlign w:val="center"/>
          </w:tcPr>
          <w:p w14:paraId="66D73142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6889AE8E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9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、具备一定的语言表达能力与文字处理能力，能够结合复杂工程问题撰写报告，报告内容和实验数据详实，格式规范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Merge w:val="continue"/>
            <w:vAlign w:val="center"/>
          </w:tcPr>
          <w:p w14:paraId="04FA67EA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224A7055">
        <w:trPr>
          <w:cantSplit/>
        </w:trPr>
        <w:tc>
          <w:tcPr>
            <w:tcW w:w="2895" w:type="dxa"/>
            <w:vMerge w:val="continue"/>
            <w:vAlign w:val="center"/>
          </w:tcPr>
          <w:p w14:paraId="30C4AA67">
            <w:pPr>
              <w:spacing w:before="93" w:beforeLines="30" w:after="93" w:afterLines="30"/>
              <w:rPr>
                <w:rFonts w:ascii="Times New Roman" w:hAnsi="Times New Roman" w:cs="Times New Roman"/>
              </w:rPr>
            </w:pPr>
          </w:p>
        </w:tc>
        <w:tc>
          <w:tcPr>
            <w:tcW w:w="5313" w:type="dxa"/>
            <w:vAlign w:val="center"/>
          </w:tcPr>
          <w:p w14:paraId="03CA0557">
            <w:pPr>
              <w:spacing w:before="93" w:beforeLines="30" w:after="93" w:afterLines="3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</w:rPr>
              <w:t>10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、能够正确、完整地回答指导教师关于课题的问询，反映其对课题内容，以及相关的工程基础知识具有较好的理解和掌握</w:t>
            </w:r>
            <w:r>
              <w:rPr>
                <w:rFonts w:hint="eastAsia" w:ascii="Times New Roman" w:hAnsi="Times New Roman" w:cs="Times New Roman"/>
                <w:sz w:val="21"/>
                <w:szCs w:val="21"/>
              </w:rPr>
              <w:t>。</w:t>
            </w:r>
          </w:p>
        </w:tc>
        <w:tc>
          <w:tcPr>
            <w:tcW w:w="1316" w:type="dxa"/>
            <w:vMerge w:val="continue"/>
            <w:vAlign w:val="center"/>
          </w:tcPr>
          <w:p w14:paraId="783B9EDD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2D870748">
        <w:trPr>
          <w:cantSplit/>
          <w:trHeight w:val="942" w:hRule="atLeast"/>
        </w:trPr>
        <w:tc>
          <w:tcPr>
            <w:tcW w:w="8208" w:type="dxa"/>
            <w:gridSpan w:val="2"/>
            <w:vAlign w:val="center"/>
          </w:tcPr>
          <w:p w14:paraId="1CC44406">
            <w:pPr>
              <w:spacing w:before="93" w:beforeLines="30" w:after="93" w:afterLines="30"/>
              <w:jc w:val="left"/>
            </w:pPr>
            <w:r>
              <w:rPr>
                <w:rFonts w:ascii="Times New Roman" w:hAnsi="Times New Roman" w:cs="Times New Roman"/>
              </w:rPr>
              <w:t>专业课程设计能力测评总分</w:t>
            </w:r>
          </w:p>
        </w:tc>
        <w:tc>
          <w:tcPr>
            <w:tcW w:w="1316" w:type="dxa"/>
            <w:vAlign w:val="center"/>
          </w:tcPr>
          <w:p w14:paraId="3072572C">
            <w:pPr>
              <w:spacing w:before="62" w:beforeLines="20" w:after="62" w:afterLines="20"/>
              <w:jc w:val="center"/>
              <w:rPr>
                <w:b/>
                <w:bCs/>
              </w:rPr>
            </w:pPr>
          </w:p>
        </w:tc>
      </w:tr>
      <w:tr w14:paraId="3DAF24B8">
        <w:trPr>
          <w:cantSplit/>
          <w:trHeight w:val="1361" w:hRule="atLeast"/>
        </w:trPr>
        <w:tc>
          <w:tcPr>
            <w:tcW w:w="9524" w:type="dxa"/>
            <w:gridSpan w:val="3"/>
            <w:vAlign w:val="center"/>
          </w:tcPr>
          <w:p w14:paraId="302F15E5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       </w:t>
            </w:r>
          </w:p>
          <w:p w14:paraId="2A2144B5">
            <w:r>
              <w:rPr>
                <w:rFonts w:hint="eastAsia"/>
                <w:b/>
                <w:bCs/>
              </w:rPr>
              <w:t>指导教师：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  <w:u w:val="single"/>
              </w:rPr>
            </w:r>
            <w:r>
              <w:rPr>
                <w:rFonts w:hint="eastAsia"/>
                <w:b/>
                <w:bCs/>
                <w:u w:val="single"/>
              </w:rPr>
              <w:t xml:space="preserve">          </w:t>
            </w:r>
            <w:r>
              <w:rPr>
                <w:rFonts w:hint="eastAsia"/>
                <w:b/>
                <w:bCs/>
              </w:rPr>
              <w:t xml:space="preserve">                </w:t>
            </w:r>
            <w:r>
              <w:rPr>
                <w:b/>
                <w:bCs/>
              </w:rPr>
              <w:t xml:space="preserve">      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b/>
                <w:bCs/>
                <w:u w:val="single"/>
              </w:rPr>
              <w:t>202</w:t>
            </w:r>
            <w:r>
              <w:rPr>
                <w:rFonts w:hint="eastAsia"/>
                <w:b/>
                <w:bCs/>
                <w:u w:val="single"/>
                <w:lang w:val="en-US" w:eastAsia="zh-CN"/>
              </w:rPr>
              <w:t>6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rFonts w:hint="eastAsia"/>
                <w:b/>
                <w:bCs/>
              </w:rPr>
              <w:t>年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b/>
                <w:bCs/>
                <w:u w:val="single"/>
              </w:rPr>
              <w:t>11</w:t>
            </w:r>
            <w:r>
              <w:rPr>
                <w:rFonts w:hint="eastAsia"/>
                <w:b/>
                <w:bCs/>
                <w:u w:val="single"/>
              </w:rPr>
              <w:t xml:space="preserve">  </w:t>
            </w:r>
            <w:r>
              <w:rPr>
                <w:rFonts w:hint="eastAsia"/>
                <w:b/>
                <w:bCs/>
              </w:rPr>
              <w:t>月</w:t>
            </w:r>
            <w:r>
              <w:rPr>
                <w:rFonts w:hint="eastAsia"/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>4</w:t>
            </w:r>
            <w:r>
              <w:rPr>
                <w:rFonts w:hint="eastAsia"/>
                <w:b/>
                <w:bCs/>
                <w:u w:val="single"/>
              </w:rPr>
              <w:t xml:space="preserve">   </w:t>
            </w:r>
            <w:r>
              <w:rPr>
                <w:rFonts w:hint="eastAsia"/>
                <w:b/>
                <w:bCs/>
              </w:rPr>
              <w:t>日</w:t>
            </w:r>
          </w:p>
          <w:p w14:paraId="1967C9A3">
            <w:pPr>
              <w:jc w:val="center"/>
              <w:rPr>
                <w:b/>
                <w:bCs/>
              </w:rPr>
            </w:pPr>
          </w:p>
        </w:tc>
      </w:tr>
      <w:tr w14:paraId="0DA87145">
        <w:trPr>
          <w:cantSplit/>
          <w:trHeight w:val="1006" w:hRule="atLeast"/>
        </w:trPr>
        <w:tc>
          <w:tcPr>
            <w:tcW w:w="9524" w:type="dxa"/>
            <w:gridSpan w:val="3"/>
          </w:tcPr>
          <w:p w14:paraId="03206AA8">
            <w:pPr>
              <w:spacing w:before="156" w:beforeLines="5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FF0000"/>
              </w:rPr>
              <w:t>备注：加上平时成绩之后换算的总评成绩及等级（优、良、中、及格等）：</w:t>
            </w:r>
          </w:p>
        </w:tc>
      </w:tr>
    </w:tbl>
    <w:p>
      <w:pPr>
        <w:pStyle w:val="ReportTitle"/>
        <w:pageBreakBefore/>
      </w:pPr>
      <w:r>
        <w:rPr>
          <w:rFonts w:ascii="Times New Roman" w:hAnsi="Times New Roman" w:eastAsia="宋体"/>
          <w:b/>
          <w:color w:val="000000"/>
          <w:sz w:val="32"/>
        </w:rPr>
        <w:t>基于同态加密的隐私保护投票系统</w:t>
      </w:r>
    </w:p>
    <w:p>
      <w:pPr>
        <w:pStyle w:val="ReportH2"/>
        <w:spacing w:after="120"/>
      </w:pPr>
      <w:r>
        <w:rPr>
          <w:rFonts w:ascii="Times New Roman" w:hAnsi="Times New Roman" w:eastAsia="宋体"/>
          <w:b/>
          <w:color w:val="000000"/>
          <w:sz w:val="24"/>
        </w:rPr>
        <w:t>成员B分工报告  同态汇总与受控解密模块</w:t>
      </w:r>
    </w:p>
    <w:p>
      <w:pPr>
        <w:pStyle w:val="ReportH1"/>
      </w:pPr>
      <w:r>
        <w:rPr>
          <w:rFonts w:ascii="Times New Roman" w:hAnsi="Times New Roman" w:eastAsia="宋体"/>
          <w:b/>
          <w:color w:val="000000"/>
          <w:sz w:val="28"/>
        </w:rPr>
        <w:t>一、课题内容和要求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1.1 课题内容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系统使用Paillier加法同态加密实现本地可视化投票。投票端生成加密选票，计票端只访问公开数据并汇总密文，独立解密进程在投票关闭后返回各选项总票数。额外实现投票关闭与Ed25519签名清单审计，检测已接收选票的删除和修改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在不解密单票的前提下汇总各选项密文，通过独立解密进程返回最终票数，并核对该请求确实来自当前完整且关闭的投票。重点是准确性、角色边界和性能解释。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1.2 课题要求与本分工责任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计票端只读取public目录并且不需要保管口令。开放状态禁止汇总查询；关闭后才允许计算结果。解密端独立检查签名清单，重新计算完整汇总，并核对轮次、清单摘要、密文向量和接收票数。结果必须满足各项票数不超过总票数且总和等于已接收人数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本报告对应的代码范围：tally_service.py；app_ui.py中的trustee_process；experiments.py中的准确性、零票、解密边界与性能实验。</w:t>
      </w:r>
    </w:p>
    <w:p>
      <w:pPr>
        <w:pStyle w:val="ReportH1"/>
      </w:pPr>
      <w:r>
        <w:rPr>
          <w:rFonts w:ascii="Times New Roman" w:hAnsi="Times New Roman" w:eastAsia="宋体"/>
          <w:b/>
          <w:color w:val="000000"/>
          <w:sz w:val="28"/>
        </w:rPr>
        <w:t>二、需求分析和总体设计</w:t>
      </w:r>
    </w:p>
    <w:p>
      <w:pPr>
        <w:pStyle w:val="ReportH2"/>
      </w:pPr>
      <w:r>
        <w:t>2.1 本课题的主要功能</w:t>
      </w:r>
    </w:p>
    <w:p>
      <w:pPr>
        <w:pStyle w:val="ReportBody"/>
      </w:pPr>
      <w:r>
        <w:t>计票模块只需公开配置、密文选票和签名清单，输出每个选项的密文乘积。保管端核验当前关闭状态及完整汇总后，使用私钥返回总票数。两端通过JSON请求关联轮次、清单摘要、密文向量与接收票数，结果须满足非负、单项上界和总和约束。</w:t>
      </w:r>
    </w:p>
    <w:p>
      <w:pPr>
        <w:pStyle w:val="ReportH2"/>
      </w:pPr>
      <w:r>
        <w:t>2.2 本课题的设计过程</w:t>
      </w:r>
    </w:p>
    <w:p>
      <w:pPr>
        <w:pStyle w:val="ReportBody"/>
      </w:pPr>
      <w:r>
        <w:t>选择按选项列进行模乘，避免逐票解密。累积元取1，因此空集合解密为0。为避免解密端成为任意密文查询服务，在加载私钥前独立审计和复算；对不完整或过期请求明确拒绝。耗时由复算端自身测量，不能由调用方提供负数或伪造值。</w:t>
      </w:r>
    </w:p>
    <w:p>
      <w:pPr>
        <w:pStyle w:val="ReportH2"/>
      </w:pPr>
      <w:r>
        <w:t>2.3 模块接口与分工</w:t>
      </w:r>
    </w:p>
    <w:p>
      <w:pPr>
        <w:pStyle w:val="ReportCaption"/>
        <w:keepNext/>
      </w:pPr>
      <w:r>
        <w:t>表1 小组模块划分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4"/>
        <w:gridCol w:w="2665"/>
        <w:gridCol w:w="5726"/>
      </w:tblGrid>
      <w:tr>
        <w:trPr>
          <w:tblHeader/>
          <w:tblHeader/>
        </w:trPr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成员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负责模块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交付与验证</w:t>
            </w:r>
          </w:p>
        </w:tc>
      </w:tr>
      <w:tr>
        <w:trPr/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密钥与加密选票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编码、随机加密、密钥封装；同态和输入边界测试</w:t>
            </w:r>
          </w:p>
        </w:tc>
      </w:tr>
      <w:tr>
        <w:trPr/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同态汇总与受控解密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独立解密进程、总票数校验；准确性与性能实验</w:t>
            </w:r>
          </w:p>
        </w:tc>
      </w:tr>
      <w:tr>
        <w:trPr/>
        <w:tc>
          <w:tcPr>
            <w:tcW w:type="dxa" w:w="79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界面与签名审计</w:t>
            </w:r>
          </w:p>
        </w:tc>
        <w:tc>
          <w:tcPr>
            <w:tcW w:type="dxa" w:w="572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ID校验、关闭状态、签名清单、GUI与打包测试</w:t>
            </w:r>
          </w:p>
        </w:tc>
      </w:tr>
    </w:tbl>
    <w:p>
      <w:pPr>
        <w:pStyle w:val="ReportBody"/>
      </w:pPr>
      <w:r>
        <w:t>公开选票由A交给C登记，C把签名清单与密文交给B汇总，B向保管端提交完整汇总请求。各角色报告分别讨论编码与密钥、汇总与解密、界面与审计；实际姓名、学号和完成记录由成员核对填写。</w:t>
      </w:r>
    </w:p>
    <w:p>
      <w:pPr>
        <w:pStyle w:val="ReportH1"/>
      </w:pPr>
      <w:r>
        <w:rPr>
          <w:rFonts w:ascii="Times New Roman" w:hAnsi="Times New Roman" w:eastAsia="宋体"/>
          <w:b/>
          <w:color w:val="000000"/>
          <w:sz w:val="28"/>
        </w:rPr>
        <w:t>三、相关功能模块详细设计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3.1 密文乘法实现明文加法</w:t>
      </w:r>
    </w:p>
    <w:p>
      <w:pPr>
        <w:pStyle w:val="ReportBody"/>
      </w:pPr>
      <w:r>
        <w:t>上游先生成n=pq及g=n+1，把单选编码为独热向量；每项m以c=</w:t>
      </w:r>
      <w:r>
        <w:t>g</w:t>
      </w:r>
      <w:r>
        <w:rPr>
          <w:vertAlign w:val="superscript"/>
        </w:rPr>
        <w:t>m</w:t>
      </w:r>
      <w:r>
        <w:t xml:space="preserve"> </w:t>
      </w:r>
      <w:r>
        <w:t>r</w:t>
      </w:r>
      <w:r>
        <w:rPr>
          <w:vertAlign w:val="superscript"/>
        </w:rPr>
        <w:t>n</w:t>
      </w:r>
      <w:r>
        <w:t xml:space="preserve"> mod n²独立随机加密。私钥p、q由口令保管库保护。汇总端只读取n，保管端才加载p、q并调用raw_decrypt，这与原语接口的分工一致[2]。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Paillier满足E(a;r1)E(b;r2) mod n² = E((a+b) mod n;r1r2 mod n)。本实验人数不超过10000，远小于2048位n，因此不会发生票数模n回绕。每个选项初始化累积值1，再将该列所有密文相乘并对n²取模。程序使用原始非负整数编码，不涉及浮点指数。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3.2 汇总请求与完整性绑定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aggregate先调用audit，再检查closed状态，输出轮次、签名清单payload摘要、密文向量、票数和耗时。没有任何Paillier私钥输入。公开ZIP不包含private目录；把公开包放到独立目录中仍可进行汇总，测试已验证这一点。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3.3 解密端拒绝任意密文查询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trustee_process使用标准输入管道传递口令，命令行参数中不包含口令。子进程重新审计并重新汇总，只有请求与当前完整结果一致才加载私钥。它没有“解密选中单票”的界面或接口。此措施限制正常程序调用，不能阻止拥有私钥及本机控制权的人自行解密。</w:t>
      </w:r>
    </w:p>
    <w:p>
      <w:pPr>
        <w:pStyle w:val="ReportH2"/>
      </w:pPr>
      <w:r>
        <w:t>3.4 模块程序流程图设计</w:t>
      </w:r>
    </w:p>
    <w:p>
      <w:pPr>
        <w:pStyle w:val="ReportCaption"/>
        <w:keepNext/>
      </w:pPr>
      <w:r/>
      <w:r>
        <w:drawing>
          <wp:inline xmlns:a="http://schemas.openxmlformats.org/drawingml/2006/main" xmlns:pic="http://schemas.openxmlformats.org/drawingml/2006/picture">
            <wp:extent cx="5760000" cy="345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图1 本模块处理流程与失败出口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3.5 威胁模型与安全边界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假设攻击者能够读取或修改公开选票目录，但不能获得保管口令和签名私钥，最初的公钥配置已可信确认。保护目标是隐藏单票选择并发现相对于签名清单的文件变化。应用运行在一台电脑上，角色隔离是教学流程；创建与解锁阶段可短暂接触完整密钥材料，不构成互不信任机构之间的物理隔离。</w:t>
      </w:r>
    </w:p>
    <w:p>
      <w:pPr>
        <w:pStyle w:val="ReportH2"/>
      </w:pPr>
      <w:r>
        <w:t>3.6 模块界面与数据说明</w:t>
      </w:r>
    </w:p>
    <w:p>
      <w:pPr>
        <w:pStyle w:val="ReportBody"/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96000" cy="4027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ul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6000" cy="402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ReportCaption"/>
      </w:pPr>
      <w:r>
        <w:t>图2 独立进程返回总票数及实测耗时</w:t>
      </w:r>
    </w:p>
    <w:p>
      <w:pPr>
        <w:pStyle w:val="ReportH2"/>
      </w:pPr>
      <w:r>
        <w:t>3.7 公开数据与私有数据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public/config.json保存标题、选项、名单、Paillier公钥n和审计公钥；public/ballots保存每张加密选票；public/manifest.json保存签名清单。private/trustee.vault保存加密后的私钥材料。公开包不包含private目录。口令经标准输入管道交给解密子进程，不放入命令行或日志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选票的时间戳、ID与随机标识属于公开元数据，隐私目标是投票内容保密，不是投票者匿名。演示和自动实验均使用虚构ID及合成选票。</w:t>
      </w:r>
    </w:p>
    <w:p>
      <w:pPr>
        <w:pStyle w:val="ReportH1"/>
      </w:pPr>
      <w:r>
        <w:rPr>
          <w:rFonts w:ascii="Times New Roman" w:hAnsi="Times New Roman" w:eastAsia="宋体"/>
          <w:b/>
          <w:color w:val="000000"/>
          <w:sz w:val="28"/>
        </w:rPr>
        <w:t>四、部分核心代码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4.1 核心实现片段</w:t>
      </w:r>
    </w:p>
    <w:p>
      <w:pPr>
        <w:pStyle w:val="ReportBody"/>
        <w:keepNext/>
      </w:pPr>
      <w:r>
        <w:rPr>
          <w:rFonts w:ascii="Times New Roman" w:hAnsi="Times New Roman" w:eastAsia="宋体"/>
          <w:b w:val="0"/>
          <w:color w:val="000000"/>
          <w:sz w:val="24"/>
        </w:rPr>
        <w:t>以下片段摘自 tally_service.py，完整上下文与异常处理见随附源代码。</w:t>
      </w:r>
    </w:p>
    <w:p>
      <w:pPr>
        <w:pStyle w:val="ReportCode"/>
        <w:keepNext/>
      </w:pPr>
      <w:r>
        <w:rPr>
          <w:rFonts w:ascii="Consolas" w:hAnsi="Consolas" w:eastAsia="新宋体"/>
          <w:b w:val="0"/>
          <w:color w:val="000000"/>
          <w:sz w:val="20"/>
        </w:rPr>
        <w:t xml:space="preserve">    totals = [1] * len(config['options'])</w:t>
      </w:r>
    </w:p>
    <w:p>
      <w:pPr>
        <w:pStyle w:val="ReportCode"/>
        <w:keepNext/>
      </w:pPr>
      <w:r>
        <w:rPr>
          <w:rFonts w:ascii="Consolas" w:hAnsi="Consolas" w:eastAsia="新宋体"/>
          <w:b w:val="0"/>
          <w:color w:val="000000"/>
          <w:sz w:val="20"/>
        </w:rPr>
        <w:t xml:space="preserve">    for ballot in ballots:</w:t>
      </w:r>
    </w:p>
    <w:p>
      <w:pPr>
        <w:pStyle w:val="ReportCode"/>
        <w:keepNext/>
      </w:pPr>
      <w:r>
        <w:rPr>
          <w:rFonts w:ascii="Consolas" w:hAnsi="Consolas" w:eastAsia="新宋体"/>
          <w:b w:val="0"/>
          <w:color w:val="000000"/>
          <w:sz w:val="20"/>
        </w:rPr>
        <w:t xml:space="preserve">        for i, c in enumerate(ballot['ciphertexts']):</w:t>
      </w:r>
    </w:p>
    <w:p>
      <w:pPr>
        <w:pStyle w:val="ReportCode"/>
        <w:keepNext/>
      </w:pPr>
      <w:r>
        <w:rPr>
          <w:rFonts w:ascii="Consolas" w:hAnsi="Consolas" w:eastAsia="新宋体"/>
          <w:b w:val="0"/>
          <w:color w:val="000000"/>
          <w:sz w:val="20"/>
        </w:rPr>
        <w:t xml:space="preserve">            totals[i] = totals[i] * int(c) % pub.nsquare</w:t>
      </w:r>
    </w:p>
    <w:p>
      <w:pPr>
        <w:pStyle w:val="ReportCode"/>
        <w:keepNext/>
      </w:pPr>
      <w:r>
        <w:rPr>
          <w:rFonts w:ascii="Consolas" w:hAnsi="Consolas" w:eastAsia="新宋体"/>
          <w:b w:val="0"/>
          <w:color w:val="000000"/>
          <w:sz w:val="20"/>
        </w:rPr>
        <w:t xml:space="preserve">    return {'election_id': config['election_id'], 'manifest_sha256': digest(manifest),</w:t>
      </w:r>
    </w:p>
    <w:p>
      <w:pPr>
        <w:pStyle w:val="ReportCode"/>
        <w:keepNext/>
      </w:pPr>
      <w:r>
        <w:rPr>
          <w:rFonts w:ascii="Consolas" w:hAnsi="Consolas" w:eastAsia="新宋体"/>
          <w:b w:val="0"/>
          <w:color w:val="000000"/>
          <w:sz w:val="20"/>
        </w:rPr>
        <w:t xml:space="preserve">            'ciphertexts': [str(c) for c in totals], 'accepted': len(ballots),</w:t>
      </w:r>
    </w:p>
    <w:p>
      <w:pPr>
        <w:pStyle w:val="ReportCode"/>
        <w:keepNext w:val="0"/>
      </w:pPr>
      <w:r>
        <w:rPr>
          <w:rFonts w:ascii="Consolas" w:hAnsi="Consolas" w:eastAsia="新宋体"/>
          <w:b w:val="0"/>
          <w:color w:val="000000"/>
          <w:sz w:val="20"/>
        </w:rPr>
        <w:t xml:space="preserve">            'audit_ms': audit_ms, 'aggregate_ms': (perf_counter()-started)*1000}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4.2 本模块可重复实验步骤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1．打开已创建的3选项投票，先尝试在投票开放时计票，确认系统拒绝查询阶段结果。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2．按[0,1,0,2,0,1]准备6张合成测试票。关闭投票后进入汇总与结果页，输入保管口令，预期得到[3,2,1]。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3．导出无私钥公开包；在自动测试的独立目录中，仅凭公开文件重新计算汇总，比较密文向量完全一致。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4．将汇总请求中的向量替换为单张选票密文，独立解密端应拒绝，不应输出该票的明文。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5．分别执行零票和4选项实验，检查结果为[0,0]和[1,1,1,1]；检查总票数与接收数一致。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6．运行10、100、1000人三次重复实验，分别测量加密、汇总和解密原语耗时，保留原始运行记录。</w:t>
      </w:r>
    </w:p>
    <w:p>
      <w:pPr>
        <w:pStyle w:val="ReportH1"/>
      </w:pPr>
      <w:r>
        <w:rPr>
          <w:rFonts w:ascii="Times New Roman" w:hAnsi="Times New Roman" w:eastAsia="宋体"/>
          <w:b/>
          <w:color w:val="000000"/>
          <w:sz w:val="28"/>
        </w:rPr>
        <w:t>五、课题完成过程中遇到的问题及解决方法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5.1 实验环境与记录来源</w:t>
      </w:r>
    </w:p>
    <w:p>
      <w:pPr>
        <w:pStyle w:val="ReportBody"/>
      </w:pPr>
      <w:r>
        <w:t>本轮实测日期为2026年10月27日（北京时间）。环境为Windows-11-10.0.26200-SP0，Python 3.12.14；phe 1.5.0、gmpy2 2.3.2、cryptography 50.0.2、PySide6-Essentials 6.12.0。核心实验使用2048位Paillier模数；9项工程回归使用1024位密钥加速边界检查，不作为安全强度示范。</w:t>
      </w:r>
    </w:p>
    <w:p>
      <w:pPr>
        <w:pStyle w:val="ReportBody"/>
      </w:pPr>
      <w:r>
        <w:t>自动核心实验29项全部符合预期，另有9项工程回归和原生Qt界面测试通过。原始记录位于evidence/2026-10-27/full/，包含JSON与CSV；源码SHA-256逐文件记入JSON。表2列出本模块相关结果。“局限”用例通过表示成功复现边界，不表示已防御。</w:t>
      </w:r>
    </w:p>
    <w:p>
      <w:pPr>
        <w:pStyle w:val="ReportCaption"/>
        <w:keepNext/>
      </w:pPr>
      <w:r>
        <w:t>表2 本模块测试结果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6633"/>
      </w:tblGrid>
      <w:tr>
        <w:trPr>
          <w:tblHeader/>
          <w:tblHeader/>
        </w:trPr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实验项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实测结果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加法同态性质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E(2) × E(3) mod n² 解密为5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未关闭禁止汇总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请先关闭投票，避免通过重复查询推断单票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已知票数准确性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6张票得到 [3, 2, 1]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拒绝单票解密请求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拒绝解密：请求不是当前完整投票的汇总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无私钥计票端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公开包无私钥；独立计票目录可完成同态汇总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零票边界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零票正常输出 [0,0]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动态选项数量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动态4选项得到 [1,1,1,1]</w:t>
            </w:r>
          </w:p>
        </w:tc>
      </w:tr>
      <w:tr>
        <w:trPr/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非法选票总和约束</w:t>
            </w:r>
          </w:p>
        </w:tc>
        <w:tc>
          <w:tcPr>
            <w:tcW w:type="dxa" w:w="663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88" w:lineRule="auto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总票数约束不成立，可能存在非法加密选票</w:t>
            </w:r>
          </w:p>
        </w:tc>
      </w:tr>
      <w:tr>
        <w:trPr/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单人投票隐私局限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一人总票[0,1]直接暴露该人的选择</w:t>
            </w:r>
          </w:p>
        </w:tc>
      </w:tr>
      <w:tr>
        <w:trPr/>
        <w:tc>
          <w:tcPr>
            <w:tcW w:type="dxa" w:w="255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非法选票组合局限</w:t>
            </w:r>
          </w:p>
        </w:tc>
        <w:tc>
          <w:tcPr>
            <w:tcW w:type="dxa" w:w="66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总和约束不能替代逐票独热合法性证明</w:t>
            </w:r>
          </w:p>
        </w:tc>
      </w:tr>
    </w:tbl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5.2 失败案例与误报分析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失败与边界：直接接受外部任意密文会把系统变成解密查询接口。本实现对完整汇总复算并比较，实际单票替换实验得到拒绝。开放期间也禁止查询，减少差分推断。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误报分析：使用过期清单生成的合法汇总请求可能被拒绝；这属于快照不一致。正确操作是重新读取当前关闭状态后生成汇总，不应跳过摘要检查。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安全局限：一人投票时总票数本身暴露其选择，关闭投票不能解决小群体隐私。总和约束能发现[2,0]形式的异常，但恶意票之间相互抵消时仍可能通过；需要合法性证明才能进一步防护。</w:t>
      </w:r>
    </w:p>
    <w:p>
      <w:pPr>
        <w:pStyle w:val="ReportH2"/>
      </w:pPr>
      <w:r>
        <w:t>5.3 性能数据与结果分析</w:t>
      </w:r>
    </w:p>
    <w:p>
      <w:pPr>
        <w:pStyle w:val="ReportBody"/>
      </w:pPr>
      <w:r>
        <w:t>对10、100、1000名投票者各做3次三选项实验。合成明文使用种子20261026加重复序号，密码学随机数不固定；每次均核对解密计数与预期。表3取本轮JSON中的算术平均值，单位毫秒。</w:t>
      </w:r>
    </w:p>
    <w:p>
      <w:pPr>
        <w:pStyle w:val="ReportCaption"/>
        <w:keepNext/>
      </w:pPr>
      <w:r>
        <w:t>表3 加密 汇总与解密实测均值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91"/>
        <w:gridCol w:w="2665"/>
        <w:gridCol w:w="2665"/>
        <w:gridCol w:w="2665"/>
      </w:tblGrid>
      <w:tr>
        <w:trPr>
          <w:tblHeader/>
          <w:tblHeader/>
        </w:trPr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人数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加密均值 ms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汇总均值 ms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  <w:shd w:fill="E8EDF1"/>
          </w:tcPr>
          <w:p>
            <w:pPr>
              <w:keepNext/>
              <w:spacing w:after="40" w:line="288" w:lineRule="auto" w:before="40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解密均值 ms</w:t>
            </w:r>
          </w:p>
        </w:tc>
      </w:tr>
      <w:tr>
        <w:trPr/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538.06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1.21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16.72</w:t>
            </w:r>
          </w:p>
        </w:tc>
      </w:tr>
      <w:tr>
        <w:trPr/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5345.25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16.13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19.20</w:t>
            </w:r>
          </w:p>
        </w:tc>
      </w:tr>
      <w:tr>
        <w:trPr/>
        <w:tc>
          <w:tcPr>
            <w:tcW w:type="dxa" w:w="119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1000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46302.62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110.80</w:t>
            </w:r>
          </w:p>
        </w:tc>
        <w:tc>
          <w:tcPr>
            <w:tcW w:type="dxa" w:w="26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keepNext w:val="0"/>
              <w:spacing w:line="288" w:lineRule="auto" w:after="40" w:before="4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11.96</w:t>
            </w:r>
          </w:p>
        </w:tc>
      </w:tr>
    </w:tbl>
    <w:p>
      <w:pPr>
        <w:pStyle w:val="ReportBody"/>
      </w:pPr>
      <w:r>
        <w:t>计时仅覆盖Paillier原语，不包括文件、签名、口令派生、进程及GUI；界面耗时则来自当前轮次的实际审计和解密端复算，二者口径不同。测试期间计算机有其他任务，三次原始记录保存在JSON中，均值不能当作部署保证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固定选项数时，汇总需要人数乘以选项数次模乘，人数增长会增加汇总时间；解密只对最终3个密文执行，因此人数增加时解密工作量基本不变。实测中解密时间有操作系统调度和后台负载波动，不能把单次波动解释为算法复杂度改变。</w:t>
      </w:r>
    </w:p>
    <w:p>
      <w:pPr>
        <w:pStyle w:val="ReportH2"/>
      </w:pPr>
      <w:r>
        <w:t>5.4 准确性与可重复性</w:t>
      </w:r>
    </w:p>
    <w:p>
      <w:pPr>
        <w:pStyle w:val="ReportBody"/>
      </w:pPr>
      <w:r>
        <w:t>基准6票序列[0,1,0,2,0,1]得到[3,2,1]；2、4、8选项各投一票均得到全1向量，零票返回全0。原生Qt测试记录在evidence/2026-10-27/ui/，验证6次控件投票、子进程计票和两种审计演示。图2采用本轮实际截图。</w:t>
      </w:r>
    </w:p>
    <w:p>
      <w:pPr>
        <w:pStyle w:val="ReportH2"/>
      </w:pPr>
      <w:r>
        <w:t>5.5 本轮发现的问题与处理</w:t>
      </w:r>
    </w:p>
    <w:p>
      <w:pPr>
        <w:pStyle w:val="ReportBody"/>
      </w:pPr>
      <w:r>
        <w:t>审查时发现，解密端虽然重新计算了完整汇总，却把请求内的audit_ms和aggregate_ms直接写入结果。调用者可传入负值污染性能记录。修复后结果改取expected中的复算耗时；回归测试用-999作为请求耗时，最终票数仍为[1,0]且返回耗时均为非负。</w:t>
      </w:r>
    </w:p>
    <w:p>
      <w:pPr>
        <w:pStyle w:val="ReportH1"/>
      </w:pPr>
      <w:r>
        <w:rPr>
          <w:rFonts w:ascii="Times New Roman" w:hAnsi="Times New Roman" w:eastAsia="宋体"/>
          <w:b/>
          <w:color w:val="000000"/>
          <w:sz w:val="28"/>
        </w:rPr>
        <w:t>六、总结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本模块验证了“计票端无私钥、按列汇总、仅返回总票”的操作流程。测量结果支持将较高的公钥加密成本放在投票端、将较轻的乘法汇总放在计票端。工程上的独立进程不是密码学上的门限解密，后续可以研究多方私钥分片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6.1 安全局限与后续改进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系统未实现零知识证明、门限解密、证书认证及完整状态回滚保护。名单ID不是身份认证；私钥持有者能在程序之外解密单票；小群体结果可能暴露个体偏好。签名验证依赖最初可信配置，攻击者若同时替换所有配置、密钥与历史数据，本地应用无法自行建立原始信任。单文件原子写入不等于跨文件事务，当前只支持单机单写入者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6.2 分工验收与口试准备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为什么乘密文得到加票数？g的指数相加，随机因子也相乘。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零票为什么可以输出0？累积元1解密为0。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为什么拒绝任意解密请求？防止把私钥端当作单票解密查询服务。</w:t>
      </w:r>
    </w:p>
    <w:p>
      <w:pPr>
        <w:pStyle w:val="ReportBody"/>
      </w:pPr>
      <w:r>
        <w:rPr>
          <w:rFonts w:ascii="Times New Roman" w:hAnsi="Times New Roman" w:eastAsia="宋体"/>
          <w:b w:val="0"/>
          <w:color w:val="000000"/>
          <w:sz w:val="24"/>
        </w:rPr>
        <w:t>个人验收建议：在自己电脑上重新运行本模块实验，保存截图和测试记录；现场修改一个参数或校验条件，说明修改影响；根据真实参与情况补全姓名、学号与个人总结。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6.3 AI使用声明</w:t>
      </w:r>
    </w:p>
    <w:p>
      <w:pPr>
        <w:pStyle w:val="ReportBody"/>
      </w:pPr>
      <w:r>
        <w:t>本次使用OpenAI Codex辅助审查代码、修订报告、执行实验和拆分Git提交。初稿与本轮修改均有仓库记录，AI参与范围详见根目录AI使用声明.txt。A/B/C为模块责任标识，学生需据真实贡献补全个人信息和复核记录，并独立解释代码。</w:t>
      </w:r>
    </w:p>
    <w:p>
      <w:pPr>
        <w:pStyle w:val="ReportH2"/>
      </w:pPr>
      <w:r>
        <w:rPr>
          <w:rFonts w:ascii="Times New Roman" w:hAnsi="Times New Roman" w:eastAsia="宋体"/>
          <w:b/>
          <w:color w:val="000000"/>
          <w:sz w:val="24"/>
        </w:rPr>
        <w:t>参考资料</w:t>
      </w:r>
    </w:p>
    <w:p>
      <w:pPr>
        <w:pStyle w:val="ReportBody"/>
        <w:spacing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[1] 专业课程设计任务书 B230414 2026—2027第一学期。</w:t>
      </w:r>
    </w:p>
    <w:p>
      <w:pPr>
        <w:pStyle w:val="ReportBody"/>
        <w:spacing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[2] python-paillier API Documentation. https://python-paillier.readthedocs.io/en/stable/phe.html</w:t>
      </w:r>
    </w:p>
    <w:p>
      <w:pPr>
        <w:pStyle w:val="ReportBody"/>
        <w:spacing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[3] Cryptography Ed25519 signing. https://cryptography.io/en/latest/hazmat/primitives/asymmetric/ed25519/</w:t>
      </w:r>
    </w:p>
    <w:p>
      <w:pPr>
        <w:pStyle w:val="ReportBody"/>
        <w:spacing w:line="288" w:lineRule="auto"/>
        <w:ind w:firstLine="0"/>
        <w:jc w:val="left"/>
      </w:pPr>
      <w:r>
        <w:rPr>
          <w:rFonts w:ascii="Times New Roman" w:hAnsi="Times New Roman" w:eastAsia="宋体"/>
          <w:b w:val="0"/>
          <w:color w:val="000000"/>
          <w:sz w:val="21"/>
        </w:rPr>
        <w:t>[4] PyInstaller Using PyInstaller. https://pyinstaller.org/en/stable/usage.html</w:t>
      </w:r>
    </w:p>
    <w:sectPr>
      <w:footerReference r:id="rId3" w:type="default"/>
      <w:pgSz w:w="11906" w:h="16838"/>
      <w:pgMar w:top="1418" w:right="1134" w:bottom="1134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新宋体">
    <w:altName w:val="方正书宋_GBK"/>
    <w:panose1 w:val="02010609030101010101"/>
    <w:charset w:val="86"/>
    <w:family w:val="modern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6C7AAE">
    <w:pPr>
      <w:pStyle w:val="8"/>
      <w:jc w:val="center"/>
    </w:pPr>
    <w:r>
      <w:rPr>
        <w:rFonts w:ascii="Times New Roman" w:hAnsi="Times New Roman" w:eastAsia="宋体"/>
        <w:b w:val="0"/>
        <w:color w:val="000000"/>
        <w:sz w:val="18"/>
      </w:rPr>
      <w:t xml:space="preserve">第 </w:t>
    </w:r>
    <w:fldSimple w:instr="PAGE"/>
    <w:r>
      <w:rPr>
        <w:rFonts w:ascii="Times New Roman" w:hAnsi="Times New Roman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574762"/>
    <w:multiLevelType w:val="singleLevel"/>
    <w:tmpl w:val="06574762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cyYjBkN2E4YjIxNzNkNWExMzU0OWMxMDQ1NGNlNDUifQ=="/>
  </w:docVars>
  <w:rsids>
    <w:rsidRoot w:val="00172A27"/>
    <w:rsid w:val="00001145"/>
    <w:rsid w:val="000012C5"/>
    <w:rsid w:val="000111B1"/>
    <w:rsid w:val="00015F0A"/>
    <w:rsid w:val="00016D54"/>
    <w:rsid w:val="00022EF6"/>
    <w:rsid w:val="00035D80"/>
    <w:rsid w:val="000428BC"/>
    <w:rsid w:val="000515C9"/>
    <w:rsid w:val="00055E2A"/>
    <w:rsid w:val="00060EA9"/>
    <w:rsid w:val="000647CB"/>
    <w:rsid w:val="0007682E"/>
    <w:rsid w:val="00091A56"/>
    <w:rsid w:val="00094C74"/>
    <w:rsid w:val="000A57D7"/>
    <w:rsid w:val="000C452C"/>
    <w:rsid w:val="000C61FE"/>
    <w:rsid w:val="000D2703"/>
    <w:rsid w:val="000D3691"/>
    <w:rsid w:val="000D5128"/>
    <w:rsid w:val="000D58E1"/>
    <w:rsid w:val="000F1F10"/>
    <w:rsid w:val="001271A5"/>
    <w:rsid w:val="00130DB3"/>
    <w:rsid w:val="001454FD"/>
    <w:rsid w:val="00147349"/>
    <w:rsid w:val="001513C2"/>
    <w:rsid w:val="00153305"/>
    <w:rsid w:val="00172A27"/>
    <w:rsid w:val="00173AB9"/>
    <w:rsid w:val="001858EA"/>
    <w:rsid w:val="00186316"/>
    <w:rsid w:val="001915DA"/>
    <w:rsid w:val="001A3163"/>
    <w:rsid w:val="001A38D4"/>
    <w:rsid w:val="001A4666"/>
    <w:rsid w:val="001A5B5F"/>
    <w:rsid w:val="001A703E"/>
    <w:rsid w:val="001A7BEC"/>
    <w:rsid w:val="001C554F"/>
    <w:rsid w:val="001C74EC"/>
    <w:rsid w:val="001C77AB"/>
    <w:rsid w:val="001D41DC"/>
    <w:rsid w:val="001D5117"/>
    <w:rsid w:val="001D59FB"/>
    <w:rsid w:val="001E0887"/>
    <w:rsid w:val="001E1022"/>
    <w:rsid w:val="001E560E"/>
    <w:rsid w:val="001E613B"/>
    <w:rsid w:val="00203AE8"/>
    <w:rsid w:val="00214C6E"/>
    <w:rsid w:val="00221345"/>
    <w:rsid w:val="0023176C"/>
    <w:rsid w:val="002325CC"/>
    <w:rsid w:val="00236021"/>
    <w:rsid w:val="0025593A"/>
    <w:rsid w:val="002736C7"/>
    <w:rsid w:val="002771EA"/>
    <w:rsid w:val="00282906"/>
    <w:rsid w:val="00285955"/>
    <w:rsid w:val="00292F11"/>
    <w:rsid w:val="002C0BFF"/>
    <w:rsid w:val="002D2DD9"/>
    <w:rsid w:val="002D50DA"/>
    <w:rsid w:val="002E4431"/>
    <w:rsid w:val="002E6FF6"/>
    <w:rsid w:val="002F0678"/>
    <w:rsid w:val="002F1BA6"/>
    <w:rsid w:val="002F384C"/>
    <w:rsid w:val="002F7F26"/>
    <w:rsid w:val="00305805"/>
    <w:rsid w:val="00312A04"/>
    <w:rsid w:val="0031322C"/>
    <w:rsid w:val="00317AC6"/>
    <w:rsid w:val="0032697C"/>
    <w:rsid w:val="003468F8"/>
    <w:rsid w:val="00353F64"/>
    <w:rsid w:val="00354B4E"/>
    <w:rsid w:val="00360CEC"/>
    <w:rsid w:val="00361DD3"/>
    <w:rsid w:val="00361E15"/>
    <w:rsid w:val="003702E7"/>
    <w:rsid w:val="00380EE9"/>
    <w:rsid w:val="00385AF8"/>
    <w:rsid w:val="00387948"/>
    <w:rsid w:val="00390815"/>
    <w:rsid w:val="003B200E"/>
    <w:rsid w:val="003B4461"/>
    <w:rsid w:val="003C3BB5"/>
    <w:rsid w:val="003C5F2F"/>
    <w:rsid w:val="003D0034"/>
    <w:rsid w:val="003E643E"/>
    <w:rsid w:val="0040000F"/>
    <w:rsid w:val="004056DB"/>
    <w:rsid w:val="004118D4"/>
    <w:rsid w:val="00413988"/>
    <w:rsid w:val="00437DD8"/>
    <w:rsid w:val="004634D7"/>
    <w:rsid w:val="00477E5B"/>
    <w:rsid w:val="00482938"/>
    <w:rsid w:val="004A320E"/>
    <w:rsid w:val="004B127B"/>
    <w:rsid w:val="004B2EB3"/>
    <w:rsid w:val="004B5D6A"/>
    <w:rsid w:val="004D7DEC"/>
    <w:rsid w:val="004E24BB"/>
    <w:rsid w:val="004E69F8"/>
    <w:rsid w:val="0050796A"/>
    <w:rsid w:val="005254FB"/>
    <w:rsid w:val="00525B09"/>
    <w:rsid w:val="00530465"/>
    <w:rsid w:val="00532940"/>
    <w:rsid w:val="00540F66"/>
    <w:rsid w:val="00543144"/>
    <w:rsid w:val="00544AF3"/>
    <w:rsid w:val="005535FF"/>
    <w:rsid w:val="00555869"/>
    <w:rsid w:val="005558F6"/>
    <w:rsid w:val="0057212C"/>
    <w:rsid w:val="00572518"/>
    <w:rsid w:val="00572C59"/>
    <w:rsid w:val="00572C74"/>
    <w:rsid w:val="005762D0"/>
    <w:rsid w:val="00582130"/>
    <w:rsid w:val="0058560B"/>
    <w:rsid w:val="00585BC0"/>
    <w:rsid w:val="005879E7"/>
    <w:rsid w:val="00587F05"/>
    <w:rsid w:val="005A40FF"/>
    <w:rsid w:val="005A6514"/>
    <w:rsid w:val="005A7052"/>
    <w:rsid w:val="005B1197"/>
    <w:rsid w:val="005B370B"/>
    <w:rsid w:val="005C1814"/>
    <w:rsid w:val="005C1BDF"/>
    <w:rsid w:val="005C4162"/>
    <w:rsid w:val="005C6A4B"/>
    <w:rsid w:val="005C6C72"/>
    <w:rsid w:val="005F329F"/>
    <w:rsid w:val="005F6A46"/>
    <w:rsid w:val="00600141"/>
    <w:rsid w:val="00601ABA"/>
    <w:rsid w:val="00615FDC"/>
    <w:rsid w:val="00627E68"/>
    <w:rsid w:val="0064160B"/>
    <w:rsid w:val="006447DD"/>
    <w:rsid w:val="006466A1"/>
    <w:rsid w:val="00651047"/>
    <w:rsid w:val="00652222"/>
    <w:rsid w:val="00654E62"/>
    <w:rsid w:val="00664A7C"/>
    <w:rsid w:val="0068603B"/>
    <w:rsid w:val="00691F97"/>
    <w:rsid w:val="006966E1"/>
    <w:rsid w:val="006B25C0"/>
    <w:rsid w:val="006B60C8"/>
    <w:rsid w:val="006B72DC"/>
    <w:rsid w:val="006C3632"/>
    <w:rsid w:val="006C382F"/>
    <w:rsid w:val="006E6893"/>
    <w:rsid w:val="006F6AC0"/>
    <w:rsid w:val="00711091"/>
    <w:rsid w:val="0071249C"/>
    <w:rsid w:val="00714026"/>
    <w:rsid w:val="007217C5"/>
    <w:rsid w:val="0072393F"/>
    <w:rsid w:val="007273A5"/>
    <w:rsid w:val="00730A71"/>
    <w:rsid w:val="0073615F"/>
    <w:rsid w:val="00737C9C"/>
    <w:rsid w:val="00757ED5"/>
    <w:rsid w:val="00761A96"/>
    <w:rsid w:val="00791919"/>
    <w:rsid w:val="00793E7B"/>
    <w:rsid w:val="007A29A0"/>
    <w:rsid w:val="007B1F5A"/>
    <w:rsid w:val="007D348A"/>
    <w:rsid w:val="007E461B"/>
    <w:rsid w:val="007E7911"/>
    <w:rsid w:val="00815533"/>
    <w:rsid w:val="00815DEC"/>
    <w:rsid w:val="00817717"/>
    <w:rsid w:val="0082400B"/>
    <w:rsid w:val="00824BC5"/>
    <w:rsid w:val="00830015"/>
    <w:rsid w:val="008402E0"/>
    <w:rsid w:val="00842AA1"/>
    <w:rsid w:val="0084372F"/>
    <w:rsid w:val="008545C3"/>
    <w:rsid w:val="00863740"/>
    <w:rsid w:val="00864F9C"/>
    <w:rsid w:val="008A2A9A"/>
    <w:rsid w:val="008A3757"/>
    <w:rsid w:val="008A7EE1"/>
    <w:rsid w:val="008B1A7E"/>
    <w:rsid w:val="008C4B2F"/>
    <w:rsid w:val="008C4F76"/>
    <w:rsid w:val="008D6766"/>
    <w:rsid w:val="008F5E55"/>
    <w:rsid w:val="008F66FC"/>
    <w:rsid w:val="009102BA"/>
    <w:rsid w:val="009175D6"/>
    <w:rsid w:val="009202C6"/>
    <w:rsid w:val="00926387"/>
    <w:rsid w:val="00927EA7"/>
    <w:rsid w:val="00935C66"/>
    <w:rsid w:val="00953C11"/>
    <w:rsid w:val="00967ED6"/>
    <w:rsid w:val="00973234"/>
    <w:rsid w:val="009946A5"/>
    <w:rsid w:val="009966AE"/>
    <w:rsid w:val="009B1AFB"/>
    <w:rsid w:val="009B7114"/>
    <w:rsid w:val="009C14C8"/>
    <w:rsid w:val="009C2D9E"/>
    <w:rsid w:val="009D2A11"/>
    <w:rsid w:val="009E3C8A"/>
    <w:rsid w:val="009E644B"/>
    <w:rsid w:val="009F7BC9"/>
    <w:rsid w:val="00A15EA1"/>
    <w:rsid w:val="00A26567"/>
    <w:rsid w:val="00A51DF8"/>
    <w:rsid w:val="00A543FC"/>
    <w:rsid w:val="00A61F7A"/>
    <w:rsid w:val="00A72299"/>
    <w:rsid w:val="00A91015"/>
    <w:rsid w:val="00A939E7"/>
    <w:rsid w:val="00AA6A4F"/>
    <w:rsid w:val="00AB1BC0"/>
    <w:rsid w:val="00AB2A16"/>
    <w:rsid w:val="00AB5F56"/>
    <w:rsid w:val="00AB66DC"/>
    <w:rsid w:val="00AB6FF4"/>
    <w:rsid w:val="00AB7839"/>
    <w:rsid w:val="00AB78BB"/>
    <w:rsid w:val="00AC0CC1"/>
    <w:rsid w:val="00AD1689"/>
    <w:rsid w:val="00B0071F"/>
    <w:rsid w:val="00B35C74"/>
    <w:rsid w:val="00B41FAA"/>
    <w:rsid w:val="00B447EB"/>
    <w:rsid w:val="00B44A4B"/>
    <w:rsid w:val="00B471A0"/>
    <w:rsid w:val="00B60E78"/>
    <w:rsid w:val="00B62E35"/>
    <w:rsid w:val="00B72D95"/>
    <w:rsid w:val="00B746B7"/>
    <w:rsid w:val="00B758D9"/>
    <w:rsid w:val="00B7603B"/>
    <w:rsid w:val="00B77838"/>
    <w:rsid w:val="00B91130"/>
    <w:rsid w:val="00B92F4A"/>
    <w:rsid w:val="00BA0563"/>
    <w:rsid w:val="00BA7AD9"/>
    <w:rsid w:val="00BC5B68"/>
    <w:rsid w:val="00BD1809"/>
    <w:rsid w:val="00BD257C"/>
    <w:rsid w:val="00BD64FA"/>
    <w:rsid w:val="00BE078E"/>
    <w:rsid w:val="00C24C1B"/>
    <w:rsid w:val="00C25AF5"/>
    <w:rsid w:val="00C33A55"/>
    <w:rsid w:val="00C36470"/>
    <w:rsid w:val="00C366D8"/>
    <w:rsid w:val="00C5556F"/>
    <w:rsid w:val="00C5673C"/>
    <w:rsid w:val="00C57D9C"/>
    <w:rsid w:val="00C6144F"/>
    <w:rsid w:val="00C6235C"/>
    <w:rsid w:val="00C73110"/>
    <w:rsid w:val="00C90159"/>
    <w:rsid w:val="00C93ADB"/>
    <w:rsid w:val="00CC1AEF"/>
    <w:rsid w:val="00CD1E5B"/>
    <w:rsid w:val="00CD1F0B"/>
    <w:rsid w:val="00CE4437"/>
    <w:rsid w:val="00CF00DD"/>
    <w:rsid w:val="00D00726"/>
    <w:rsid w:val="00D047C1"/>
    <w:rsid w:val="00D06181"/>
    <w:rsid w:val="00D25A32"/>
    <w:rsid w:val="00D26C11"/>
    <w:rsid w:val="00D32511"/>
    <w:rsid w:val="00D4193F"/>
    <w:rsid w:val="00D455AD"/>
    <w:rsid w:val="00D46041"/>
    <w:rsid w:val="00D5525A"/>
    <w:rsid w:val="00D55C4C"/>
    <w:rsid w:val="00D61928"/>
    <w:rsid w:val="00D677E4"/>
    <w:rsid w:val="00D7665F"/>
    <w:rsid w:val="00D84FA3"/>
    <w:rsid w:val="00D91547"/>
    <w:rsid w:val="00DA22D5"/>
    <w:rsid w:val="00DA5C62"/>
    <w:rsid w:val="00DA7A99"/>
    <w:rsid w:val="00DB271C"/>
    <w:rsid w:val="00DC0585"/>
    <w:rsid w:val="00DD2C1D"/>
    <w:rsid w:val="00DD5370"/>
    <w:rsid w:val="00DD6A7A"/>
    <w:rsid w:val="00DE73CD"/>
    <w:rsid w:val="00DF21F4"/>
    <w:rsid w:val="00E05EDA"/>
    <w:rsid w:val="00E103CA"/>
    <w:rsid w:val="00E11178"/>
    <w:rsid w:val="00E27203"/>
    <w:rsid w:val="00E55E16"/>
    <w:rsid w:val="00E564CA"/>
    <w:rsid w:val="00E60ED0"/>
    <w:rsid w:val="00E6388C"/>
    <w:rsid w:val="00E6393D"/>
    <w:rsid w:val="00E65159"/>
    <w:rsid w:val="00E710C7"/>
    <w:rsid w:val="00E75EED"/>
    <w:rsid w:val="00E976BD"/>
    <w:rsid w:val="00EA0F1C"/>
    <w:rsid w:val="00EA183F"/>
    <w:rsid w:val="00EA478A"/>
    <w:rsid w:val="00EA6DF4"/>
    <w:rsid w:val="00EB4DA5"/>
    <w:rsid w:val="00EC6839"/>
    <w:rsid w:val="00EC68B1"/>
    <w:rsid w:val="00ED1DD1"/>
    <w:rsid w:val="00F03BB7"/>
    <w:rsid w:val="00F0427E"/>
    <w:rsid w:val="00F12714"/>
    <w:rsid w:val="00F14017"/>
    <w:rsid w:val="00F167BF"/>
    <w:rsid w:val="00F22D2F"/>
    <w:rsid w:val="00F32965"/>
    <w:rsid w:val="00F35C57"/>
    <w:rsid w:val="00F36543"/>
    <w:rsid w:val="00F437B9"/>
    <w:rsid w:val="00F54DDD"/>
    <w:rsid w:val="00F55619"/>
    <w:rsid w:val="00F600FF"/>
    <w:rsid w:val="00F63EC1"/>
    <w:rsid w:val="00F67469"/>
    <w:rsid w:val="00F67DF9"/>
    <w:rsid w:val="00F76CFC"/>
    <w:rsid w:val="00F76E39"/>
    <w:rsid w:val="00F830E2"/>
    <w:rsid w:val="00F85589"/>
    <w:rsid w:val="00F86044"/>
    <w:rsid w:val="00FA18BA"/>
    <w:rsid w:val="00FC00B4"/>
    <w:rsid w:val="00FC1102"/>
    <w:rsid w:val="00FC7256"/>
    <w:rsid w:val="00FD209C"/>
    <w:rsid w:val="00FD57E5"/>
    <w:rsid w:val="00FE0F8B"/>
    <w:rsid w:val="00FE1E59"/>
    <w:rsid w:val="00FE6CD7"/>
    <w:rsid w:val="00FF23C5"/>
    <w:rsid w:val="00FF41A3"/>
    <w:rsid w:val="031F4ED0"/>
    <w:rsid w:val="05DB4835"/>
    <w:rsid w:val="06491CCA"/>
    <w:rsid w:val="080745D9"/>
    <w:rsid w:val="092172BF"/>
    <w:rsid w:val="097A35C5"/>
    <w:rsid w:val="0D27197E"/>
    <w:rsid w:val="10E656C0"/>
    <w:rsid w:val="12844928"/>
    <w:rsid w:val="12D97684"/>
    <w:rsid w:val="184D6A75"/>
    <w:rsid w:val="192E7CAA"/>
    <w:rsid w:val="1B3C6908"/>
    <w:rsid w:val="1B7B3712"/>
    <w:rsid w:val="261A5CB1"/>
    <w:rsid w:val="2C5833FC"/>
    <w:rsid w:val="2E332A37"/>
    <w:rsid w:val="2E8957F9"/>
    <w:rsid w:val="329D0B59"/>
    <w:rsid w:val="3BCE1597"/>
    <w:rsid w:val="3D6514BF"/>
    <w:rsid w:val="3F231986"/>
    <w:rsid w:val="42612193"/>
    <w:rsid w:val="42AD6003"/>
    <w:rsid w:val="44597BC7"/>
    <w:rsid w:val="44715C23"/>
    <w:rsid w:val="4F96715E"/>
    <w:rsid w:val="56244A5C"/>
    <w:rsid w:val="56A003B7"/>
    <w:rsid w:val="579E5041"/>
    <w:rsid w:val="594740C8"/>
    <w:rsid w:val="597E190C"/>
    <w:rsid w:val="5A6122B2"/>
    <w:rsid w:val="64C019D5"/>
    <w:rsid w:val="6F5F7B6D"/>
    <w:rsid w:val="73DC40A1"/>
    <w:rsid w:val="74B731AC"/>
    <w:rsid w:val="EFFE9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Courier New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300" w:lineRule="auto"/>
      <w:jc w:val="center"/>
      <w:outlineLvl w:val="0"/>
    </w:pPr>
    <w:rPr>
      <w:rFonts w:ascii="Times New Roman" w:hAnsi="Times New Roman" w:cs="Times New Roman"/>
      <w:b/>
      <w:bCs/>
      <w:sz w:val="32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ocument Map"/>
    <w:basedOn w:val="1"/>
    <w:semiHidden/>
    <w:qFormat/>
    <w:uiPriority w:val="0"/>
    <w:pPr>
      <w:shd w:val="clear" w:color="auto" w:fill="000080"/>
    </w:pPr>
  </w:style>
  <w:style w:type="paragraph" w:styleId="4">
    <w:name w:val="annotation text"/>
    <w:basedOn w:val="1"/>
    <w:semiHidden/>
    <w:qFormat/>
    <w:uiPriority w:val="0"/>
    <w:pPr>
      <w:jc w:val="left"/>
    </w:pPr>
  </w:style>
  <w:style w:type="paragraph" w:styleId="5">
    <w:name w:val="Body Text"/>
    <w:basedOn w:val="1"/>
    <w:qFormat/>
    <w:uiPriority w:val="0"/>
    <w:pPr>
      <w:spacing w:line="360" w:lineRule="auto"/>
    </w:pPr>
    <w:rPr>
      <w:sz w:val="28"/>
    </w:rPr>
  </w:style>
  <w:style w:type="paragraph" w:styleId="6">
    <w:name w:val="Body Text Indent"/>
    <w:basedOn w:val="1"/>
    <w:qFormat/>
    <w:uiPriority w:val="0"/>
    <w:pPr>
      <w:ind w:firstLine="2325"/>
      <w:jc w:val="center"/>
    </w:pPr>
    <w:rPr>
      <w:rFonts w:ascii="Times New Roman" w:hAnsi="Times New Roman" w:cs="Times New Roman"/>
      <w:sz w:val="21"/>
    </w:r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sz w:val="18"/>
      <w:szCs w:val="18"/>
    </w:rPr>
  </w:style>
  <w:style w:type="paragraph" w:styleId="9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sz w:val="18"/>
      <w:szCs w:val="18"/>
    </w:rPr>
  </w:style>
  <w:style w:type="paragraph" w:styleId="10">
    <w:name w:val="annotation subject"/>
    <w:basedOn w:val="4"/>
    <w:next w:val="4"/>
    <w:semiHidden/>
    <w:uiPriority w:val="0"/>
    <w:rPr>
      <w:b/>
      <w:bCs/>
    </w:rPr>
  </w:style>
  <w:style w:type="table" w:styleId="12">
    <w:name w:val="Table Grid"/>
    <w:basedOn w:val="11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annotation reference"/>
    <w:basedOn w:val="13"/>
    <w:semiHidden/>
    <w:qFormat/>
    <w:uiPriority w:val="0"/>
    <w:rPr>
      <w:sz w:val="21"/>
      <w:szCs w:val="21"/>
    </w:rPr>
  </w:style>
  <w:style w:type="character" w:customStyle="1" w:styleId="15">
    <w:name w:val="dbluetext1"/>
    <w:basedOn w:val="13"/>
    <w:qFormat/>
    <w:uiPriority w:val="0"/>
    <w:rPr>
      <w:rFonts w:hint="default" w:ascii="Arial" w:hAnsi="Arial" w:cs="Arial"/>
      <w:color w:val="003FB2"/>
      <w:sz w:val="13"/>
      <w:szCs w:val="13"/>
    </w:rPr>
  </w:style>
  <w:style w:type="paragraph" w:styleId="16">
    <w:name w:val="List Paragraph"/>
    <w:basedOn w:val="1"/>
    <w:qFormat/>
    <w:uiPriority w:val="99"/>
    <w:pPr>
      <w:ind w:firstLine="420" w:firstLineChars="200"/>
    </w:pPr>
  </w:style>
  <w:style w:type="paragraph" w:customStyle="1" w:styleId="ReportTitle">
    <w:name w:val="Report Title"/>
    <w:basedOn w:val="1"/>
    <w:pPr>
      <w:keepNext/>
      <w:widowControl/>
      <w:spacing w:after="60" w:before="120" w:line="360" w:lineRule="auto"/>
      <w:ind w:firstLine="0"/>
    </w:pPr>
    <w:rPr>
      <w:rFonts w:ascii="Times New Roman" w:hAnsi="Times New Roman" w:eastAsia="宋体"/>
      <w:b/>
      <w:sz w:val="32"/>
    </w:rPr>
  </w:style>
  <w:style w:type="paragraph" w:customStyle="1" w:styleId="ReportH1">
    <w:name w:val="Report H1"/>
    <w:basedOn w:val="1"/>
    <w:pPr>
      <w:keepNext/>
      <w:widowControl/>
      <w:spacing w:after="60" w:before="120" w:line="360" w:lineRule="auto"/>
      <w:ind w:firstLine="0"/>
      <w:outlineLvl w:val="0"/>
    </w:pPr>
    <w:rPr>
      <w:rFonts w:ascii="Times New Roman" w:hAnsi="Times New Roman" w:eastAsia="宋体"/>
      <w:b/>
      <w:sz w:val="28"/>
    </w:rPr>
  </w:style>
  <w:style w:type="paragraph" w:customStyle="1" w:styleId="ReportH2">
    <w:name w:val="Report H2"/>
    <w:basedOn w:val="1"/>
    <w:pPr>
      <w:keepNext/>
      <w:widowControl/>
      <w:spacing w:after="60" w:before="120" w:line="360" w:lineRule="auto"/>
      <w:ind w:firstLine="0"/>
      <w:outlineLvl w:val="1"/>
    </w:pPr>
    <w:rPr>
      <w:rFonts w:ascii="Times New Roman" w:hAnsi="Times New Roman" w:eastAsia="宋体"/>
      <w:b/>
      <w:sz w:val="24"/>
    </w:rPr>
  </w:style>
  <w:style w:type="paragraph" w:customStyle="1" w:styleId="ReportBody">
    <w:name w:val="Report Body"/>
    <w:basedOn w:val="1"/>
    <w:pPr>
      <w:keepLines/>
      <w:widowControl/>
      <w:spacing w:after="0" w:before="0" w:line="360" w:lineRule="auto"/>
      <w:ind w:firstLine="480"/>
    </w:pPr>
    <w:rPr>
      <w:rFonts w:ascii="Times New Roman" w:hAnsi="Times New Roman" w:eastAsia="宋体"/>
      <w:b w:val="0"/>
      <w:sz w:val="24"/>
    </w:rPr>
  </w:style>
  <w:style w:type="paragraph" w:customStyle="1" w:styleId="ReportCaption">
    <w:name w:val="Report Caption"/>
    <w:basedOn w:val="1"/>
    <w:pPr>
      <w:widowControl/>
      <w:spacing w:after="120" w:before="0" w:line="360" w:lineRule="auto"/>
      <w:ind w:firstLine="0"/>
      <w:jc w:val="center"/>
    </w:pPr>
    <w:rPr>
      <w:rFonts w:ascii="Times New Roman" w:hAnsi="Times New Roman" w:eastAsia="宋体"/>
      <w:b w:val="0"/>
      <w:sz w:val="21"/>
    </w:rPr>
  </w:style>
  <w:style w:type="paragraph" w:customStyle="1" w:styleId="ReportCode">
    <w:name w:val="Report Code"/>
    <w:basedOn w:val="1"/>
    <w:pPr>
      <w:keepLines/>
      <w:widowControl/>
      <w:spacing w:after="0" w:before="0" w:line="240" w:lineRule="auto"/>
      <w:ind w:firstLine="0" w:left="240"/>
      <w:jc w:val="left"/>
    </w:pPr>
    <w:rPr>
      <w:rFonts w:ascii="Consolas" w:hAnsi="Consolas" w:eastAsia="新宋体"/>
      <w:b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2A7D56-D8A7-45D7-B562-C245C6F835C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jwc</Company>
  <Pages>4</Pages>
  <Words>789</Words>
  <Characters>4500</Characters>
  <Lines>37</Lines>
  <Paragraphs>10</Paragraphs>
  <TotalTime>16</TotalTime>
  <ScaleCrop>false</ScaleCrop>
  <LinksUpToDate>false</LinksUpToDate>
  <CharactersWithSpaces>5279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2022-10-23T19:03:00Z</dcterms:created>
  <dc:creator>朱立华</dc:creator>
  <cp:lastModifiedBy>吴严生</cp:lastModifiedBy>
  <dcterms:modified xsi:type="dcterms:W3CDTF">2026-10-26T08:44:15Z</dcterms:modified>
  <dc:title>程序设计报告封面_06new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ICV">
    <vt:lpwstr>9DD1E9AF3D3A4E5FA904EEDE65F3B228</vt:lpwstr>
  </property>
</Properties>
</file>