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 w:ascii="黑体" w:eastAsia="黑体"/>
          <w:sz w:val="44"/>
        </w:rPr>
        <w:t>题   目：基于同态加密的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1078" w:firstLineChars="245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隐私保护投票系统</w:t>
      </w:r>
      <w:r>
        <w:rPr>
          <w:rFonts w:hint="eastAsia"/>
          <w:sz w:val="44"/>
          <w:szCs w:val="44"/>
          <w:u w:val="single"/>
        </w:rPr>
      </w:r>
      <w:r>
        <w:rPr>
          <w:sz w:val="44"/>
          <w:szCs w:val="44"/>
          <w:u w:val="single"/>
        </w:rPr>
      </w:r>
      <w:r>
        <w:rPr>
          <w:rFonts w:hint="eastAsia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成员C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eastAsia="宋体"/>
                <w:b w:val="0"/>
                <w:color w:val="000000"/>
                <w:sz w:val="24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  <w:t>2026.10.26—2026.11.06</w:t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  <w:lang w:val="en-US" w:eastAsia="zh-CN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hint="eastAsia" w:ascii="宋体" w:hAnsi="宋体" w:cs="Times New Roman" w:eastAsia="宋体"/>
                <w:b w:val="0"/>
                <w:color w:val="000000"/>
                <w:sz w:val="24"/>
                <w:szCs w:val="30"/>
              </w:rPr>
            </w:r>
            <w:r>
              <w:rPr>
                <w:rFonts w:ascii="宋体" w:hAnsi="宋体" w:cs="Times New Roman" w:eastAsia="宋体"/>
                <w:b w:val="0"/>
                <w:color w:val="000000"/>
                <w:sz w:val="24"/>
                <w:szCs w:val="30"/>
              </w:rPr>
            </w:r>
          </w:p>
        </w:tc>
      </w:tr>
    </w:tbl>
    <w:p w14:paraId="5010FDA4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p w14:paraId="36DF6B19">
      <w:pPr>
        <w:tabs>
          <w:tab w:val="left" w:pos="6870"/>
        </w:tabs>
        <w:rPr>
          <w:rFonts w:ascii="黑体" w:eastAsia="黑体"/>
          <w:sz w:val="21"/>
          <w:szCs w:val="21"/>
        </w:rPr>
      </w:pP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基于同态加密的隐私保护投票系统</w:t>
      </w:r>
    </w:p>
    <w:p>
      <w:pPr>
        <w:spacing w:line="300" w:lineRule="auto" w:after="160"/>
      </w:pPr>
      <w:r>
        <w:rPr>
          <w:rFonts w:ascii="宋体" w:hAnsi="宋体" w:eastAsia="宋体"/>
          <w:b/>
          <w:color w:val="000000"/>
          <w:sz w:val="24"/>
        </w:rPr>
        <w:t>成员C分工报告  可视化交互与选票审计模块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一 课题内容和要求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1.1 课题内容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使用Paillier加法同态加密实现本地可视化投票。投票端生成加密选票，计票端只访问公开数据并汇总密文，独立解密进程在投票关闭后返回各选项总票数。额外实现投票关闭与Ed25519签名清单审计，检测已接收选票的删除和修改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把加密与计票模块组合成可操作的Windows小应用，建立从ID校验、选票登记到关闭投票的状态流程，并以签名清单检测已接收选票被修改或删除。重点是可用性、异常处理、审计边界和集成验证。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1.2 课题要求与本分工责任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四个页面分别承担创建管理、加密投票、汇总结果、审计实验。长耗时工作进入后台线程。投票必须具有合法ID、正确轮次、时间戳和密文维度；一个ID只允许登记一次。关闭后不能再投，审计失败时拒绝计票。额外功能以临时副本演示修改和删除，不破坏原始数据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本报告对应的代码范围：app_ui.py；audit_service.py；election_service.py；common.py；ui_smoke.py；打包配置与集成测试。</w:t>
      </w:r>
    </w:p>
    <w:p>
      <w:pPr>
        <w:keepNext/>
        <w:pageBreakBefore w:val="0"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二 需求分析和总体设计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665"/>
        <w:gridCol w:w="5726"/>
      </w:tblGrid>
      <w:tr>
        <w:trPr>
          <w:tblHeader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负责模块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交付与验证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密钥与加密选票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编码、随机加密、密钥封装；同态和输入边界测试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B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同态汇总与受控解密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独立解密进程、总票数校验；准确性与性能实验</w:t>
            </w:r>
          </w:p>
        </w:tc>
      </w:tr>
      <w:t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界面与签名审计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ID校验、关闭状态、签名清单、GUI与打包测试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共同接口以JSON公开配置、加密选票和签名清单为中心。A不在选票文件保存明文选择；B不在计票目录放置私钥；C在每次关键操作前检查签名和状态。报告按责任模块划分，实际学生完成情况需在复现和现场修改后由本人确认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三 相关功能模块详细设计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3.1 签名清单与信任前提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清单payload包含轮次、配置SHA-256、状态及各选票的ID、文件名和摘要，以Ed25519签名。选票名由ID摘要推导，不能由外部输入任意路径。审计核对签名、配置、文件集合、逐票摘要、轮次、ID和密文空间。信任前提是最初公钥配置已确认、签名密钥未泄露；完整配置和全部状态替换超出该本地模型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3.2 状态管理与存储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状态只有open和closed；关闭操作需要登记签名密钥，不能从界面重新开放。文件以临时写入后替换的方式保存，单个JSON写入具备原子替换性质；选票与清单并非跨文件事务。若中途异常遗留未登记文件，审计按失败处理，不静默修复。桌面应用通过QLockFile阻止同一目录被两个应用实例同时使用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3.3 后台任务与可视化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Qt主线程负责控件，Job线程执行加密、审计和实验；结果通过信号回到主线程。首次界面测试发现done信号发出时线程尚未完全结束，紧接着的实验按钮可能被忽略。修复方法是在成功处理槽等待线程退出后再开放操作。复测已完成投票、结果图和两种审计演示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3.4 模块处理流程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选择目录与参数 → 创建签名配置 → 接收加密选票 → 签名更新清单 → 关闭本轮 → 审计通过 → 显示汇总结果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3.5 威胁模型与安全边界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假设攻击者能够读取或修改公开选票目录，但不能获得保管口令和签名私钥，最初的公钥配置已可信确认。保护目标是隐藏单票选择并发现相对于签名清单的文件变化。应用运行在一台电脑上，角色隔离是教学流程；创建与解锁阶段可短暂接触完整密钥材料，不构成互不信任机构之间的物理隔离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模块界面与数据说明</w:t>
      </w:r>
    </w:p>
    <w:p>
      <w:r>
        <w:drawing>
          <wp:inline xmlns:a="http://schemas.openxmlformats.org/drawingml/2006/main" xmlns:pic="http://schemas.openxmlformats.org/drawingml/2006/picture">
            <wp:extent cx="5796000" cy="4027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4027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60"/>
        <w:jc w:val="center"/>
      </w:pPr>
      <w:r>
        <w:rPr>
          <w:rFonts w:ascii="宋体" w:hAnsi="宋体" w:eastAsia="宋体"/>
          <w:b w:val="0"/>
          <w:color w:val="000000"/>
          <w:sz w:val="21"/>
        </w:rPr>
        <w:t>图1 临时副本上的篡改和删除审计演示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公开数据与私有数据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public/config.json保存标题、选项、名单、Paillier公钥n和审计公钥；public/ballots保存每张加密选票；public/manifest.json保存签名清单。private/trustee.vault保存加密后的私钥材料。公开包不包含private目录。口令经标准输入管道交给解密子进程，不放入命令行或日志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选票的时间戳、ID与随机标识属于公开元数据，隐私目标是投票内容保密，不是投票者匿名。演示和自动实验均使用虚构ID及合成选票。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四 部分核心代码与实验步骤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4.1 核心实现片段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1"/>
        </w:rPr>
        <w:t>以下片段摘自 audit_service.py，完整上下文与异常处理见随附源代码。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path = root / 'public' / 'ballots' / filename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if not path.is_file():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raise VoteError('发现选票被删除：' + voter)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ballot = read_json(path, 100000)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if digest(ballot) != entry['sha256']: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    raise VoteError('发现选票被篡改：' + voter)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color w:val="000000"/>
          <w:sz w:val="17"/>
        </w:rPr>
        <w:t xml:space="preserve">        validate_ballot(config, ballot)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4.2 本模块可重复实验步骤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1．启动MiPiaoLab.exe，在创建页填写标题、逗号分隔选项、人数及保管口令，选择目录创建新轮次。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2．提交V0001选票后再次提交同一ID，确认拒绝；输入UNKNOWN确认名单校验失败。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3．双击选票列表，展开详细信息查看密文JSON，确认公开文件不显示明文选择；关闭后验证新票不能提交。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4．在审计页检查当前投票，应显示签名、摘要、ID及文件集合一致。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5．分别点击演示篡改检测和演示删除检测，确认临时副本被识别为异常，再检查原始投票仍然通过审计。</w:t>
      </w:r>
    </w:p>
    <w:p>
      <w:pPr>
        <w:spacing w:line="300" w:lineRule="auto" w:after="100"/>
      </w:pPr>
      <w:r>
        <w:rPr>
          <w:rFonts w:ascii="宋体" w:hAnsi="宋体" w:eastAsia="宋体"/>
          <w:b w:val="0"/>
          <w:color w:val="000000"/>
          <w:sz w:val="22"/>
        </w:rPr>
        <w:t>6．点击自动实验与性能测试并选择输出目录；检查CSV和JSON。随后在关闭应用、重新打开后验证持久化数据可以读取。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五 课题完成过程中遇到的问题及解决方法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5.1 实验环境与记录来源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实测日期为2026年10月26日。环境为Windows-11-10.0.22631-SP0，Python 3.12.14，phe 1.5.0，gmpy2 2.3.2，cryptography 50.0.2，PySide6 6.12.0。Paillier模数2048位；数据来自experiment_results.json，不使用预测值替代实测。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自动核心实验共25项，25项通过。下表选取与本分工相关的用例；完整记录在test_cases.csv。‘通过’表示符合预期，完整回滚用例的通过表示局限被成功复现，并不表示系统能够抵御回滚。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633"/>
      </w:tblGrid>
      <w:tr>
        <w:trPr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实验项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实测结果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名单外ID拒绝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投票者ID不在授权名单内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重复投票拒绝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该ID已投票，拒绝重复提交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关闭后禁止新票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投票已关闭，不能提交新票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重启加载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重启后只读载入成功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删除选票检测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发现选票被删除：V0004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篡改选票检测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发现选票被篡改：V0004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清单篡改检测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清单签名无效，配置或清单可能被修改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配置篡改检测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配置摘要或投票轮次不匹配</w:t>
            </w:r>
          </w:p>
        </w:tc>
      </w:tr>
      <w:t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完整回滚局限验证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局限确认：</w:t>
              <w:br/>
              <w:t>整套数据回滚到旧有效签名状态</w:t>
              <w:br/>
              <w:t>无法被本地审计识别</w:t>
            </w:r>
          </w:p>
        </w:tc>
      </w:tr>
    </w:tbl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5.2 失败案例与误报分析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实际修复：源码界面测试出现连续任务切换竞态，修复后再次执行真实Qt控件点击、独立进程计票和两种审计演示，验证成功。界面证据保存为PNG和ui_smoke.json。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失败与误报：用户手动删除文件、同步工具造成文件暂时缺失，或跨文件写入中断，都可能触发同样的完整性告警。因此程序只说明数据不一致，不断言发生了恶意攻击；应恢复可信备份后再审计。</w:t>
      </w:r>
    </w:p>
    <w:p>
      <w:pPr>
        <w:spacing w:line="300" w:lineRule="auto" w:after="12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边界：系统按单机单写入者设计。ID不是登录认证，公钥配置没有外部证书认证，整套历史状态回滚不受本地签名清单保护。默认公开导出包含ID和时间戳，演示使用虚构ID，实际使用需考虑元数据隐私。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性能数据与结果分析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对10、100、1000名投票者分别进行3次三选项实验。明文选项用固定种子20261026加重复序号生成，使预期总票可复算；密码学随机数保持系统随机。计时使用perf_counter，以下为三次算术平均，单位毫秒。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665"/>
        <w:gridCol w:w="2665"/>
        <w:gridCol w:w="2665"/>
      </w:tblGrid>
      <w:tr>
        <w:trPr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加密均值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汇总均值 ms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8EDF1"/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解密均值 ms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230.19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0.84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6.21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2438.30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11.11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7.86</w:t>
            </w:r>
          </w:p>
        </w:tc>
      </w:tr>
      <w:t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28512.22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98.68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64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6.47</w:t>
            </w:r>
          </w:p>
        </w:tc>
      </w:tr>
    </w:tbl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计时范围仅包含Paillier原语，不包括文件读写、清单签名、口令派生、进程启动和GUI刷新。结果反映本机当时负载，测试期间并非独占计算机；原始三次记录完整保留，不能将均值直接当作部署性能保证。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的额外价值在于解释“已接收的密文集合是否仍与签名清单一致”。摘要比对本身不能证明身份，清单签名也不能证明选票内容合法。完整回滚实验故意恢复旧清单并删除之后的选票，审计仍通过；这表明需要外部保存的最新检查点或独立见证才能识别回滚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准确性与可重复性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基准6票的选择序列为[0,1,0,2,0,1]，实测结果[3,2,1]；四选项实验每项一票，实测[1,1,1,1]。每次性能实验均比较解密结果与合成明文的计数。GUI测试使用实际Qt控件点击，并验证独立子进程返回的结果与审计演示；程序截图不是绘制的效果图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额外功能的实际意义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关闭状态阻止继续接收选票和开放期计票；签名清单把已接收文件集合与摘要绑定起来。修改密文、删除选票、添加额外文件、修改配置或清单都会导致拒绝。临时副本演示便于现场复现，原始数据不会因此改变。</w:t>
      </w:r>
    </w:p>
    <w:p>
      <w:pPr>
        <w:keepNext/>
        <w:pageBreakBefore/>
        <w:spacing w:line="300" w:lineRule="auto" w:after="160"/>
      </w:pPr>
      <w:r>
        <w:rPr>
          <w:rFonts w:ascii="宋体" w:hAnsi="宋体" w:eastAsia="宋体"/>
          <w:b/>
          <w:color w:val="000000"/>
          <w:sz w:val="28"/>
        </w:rPr>
        <w:t>六 总结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本模块把密码学操作组织为可检查的桌面流程，额外提供关闭投票和签名清单审计，并让用户可视化观察失败案例。后续工作应优先补充独立审计检查点、真实身份认证和事务化存储，而不是仅增加界面按钮。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6.1 安全局限与后续改进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4"/>
        </w:rPr>
        <w:t>系统未实现零知识证明、门限解密、证书认证及完整状态回滚保护。名单ID不是身份认证；私钥持有者能在程序之外解密单票；小群体结果可能暴露个体偏好。签名验证依赖最初可信配置，攻击者若同时替换所有配置、密钥与历史数据，本地应用无法自行建立原始信任。单文件原子写入不等于跨文件事务，当前只支持单机单写入者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6.2 分工验收与口试准备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为什么只存SHA-256不够？攻击者可同时改文件与摘要，需签名和可信公钥。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为什么删除文件也能发现？签名清单仍保留应存在的文件记录。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为什么整套回滚不能发现？旧清单签名仍有效，本地缺少可信的最新状态锚点。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个人验收建议：在自己电脑上重新运行本模块实验，保存截图和测试记录；现场修改一个参数或校验条件，说明修改影响；根据真实参与情况补全姓名、学号与个人总结。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6.3 AI使用声明</w:t>
      </w:r>
    </w:p>
    <w:p>
      <w:pPr>
        <w:spacing w:line="300" w:lineRule="auto" w:after="100"/>
        <w:ind w:firstLine="480"/>
      </w:pPr>
      <w:r>
        <w:rPr>
          <w:rFonts w:ascii="宋体" w:hAnsi="宋体" w:eastAsia="宋体"/>
          <w:b w:val="0"/>
          <w:color w:val="000000"/>
          <w:sz w:val="22"/>
        </w:rPr>
        <w:t>本项目的初始代码、自动实验执行及报告初稿由OpenAI Codex辅助生成。报告中的数据来自实际运行，成员A/B/C表示建议的责任分配，不表示三位学生已经独立完成相应工作。学生须逐项验证、修改并能现场解释，个人完成情况、人工复核与新增Git提交应由本人补充。AI生成记录不冒充学生历史提交。</w:t>
      </w:r>
    </w:p>
    <w:p>
      <w:pPr>
        <w:keepNext/>
        <w:spacing w:line="300" w:lineRule="auto" w:after="100"/>
      </w:pPr>
      <w:r>
        <w:rPr>
          <w:rFonts w:ascii="宋体" w:hAnsi="宋体" w:eastAsia="宋体"/>
          <w:b/>
          <w:color w:val="000000"/>
          <w:sz w:val="24"/>
        </w:rPr>
        <w:t>参考资料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[1] 专业课程设计任务书 B230414 2026—2027第一学期。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[2] python-paillier API Documentation. https://python-paillier.readthedocs.io/en/stable/phe.html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[3] Cryptography Ed25519 signing. https://cryptography.io/en/latest/hazmat/primitives/asymmetric/ed25519/</w:t>
      </w:r>
    </w:p>
    <w:p>
      <w:pPr>
        <w:spacing w:line="300" w:lineRule="auto" w:after="80"/>
      </w:pPr>
      <w:r>
        <w:rPr>
          <w:rFonts w:ascii="宋体" w:hAnsi="宋体" w:eastAsia="宋体"/>
          <w:b w:val="0"/>
          <w:color w:val="000000"/>
          <w:sz w:val="18"/>
        </w:rPr>
        <w:t>[4] PyInstaller Using PyInstaller. https://pyinstaller.org/en/stable/usage.html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kern w:val="0"/>
        <w:szCs w:val="21"/>
      </w:rPr>
      <w:t>-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