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945D" w14:textId="00F5934C" w:rsidR="00C67593" w:rsidRDefault="00835A5B">
      <w:pPr>
        <w:rPr>
          <w:rFonts w:ascii="-webkit-standard" w:hAnsi="-webkit-standard"/>
          <w:color w:val="000000"/>
          <w:sz w:val="27"/>
          <w:szCs w:val="27"/>
        </w:rPr>
      </w:pPr>
      <w:r>
        <w:rPr>
          <w:rFonts w:ascii="-webkit-standard" w:hAnsi="-webkit-standard"/>
          <w:color w:val="000000"/>
          <w:sz w:val="27"/>
          <w:szCs w:val="27"/>
        </w:rPr>
        <w:t>With the exception of the Western Cape, which has its own blood service, all of South Africa is served by the non-profit South African National Blood Service (SANBS), which supplies human blood for transfusion. Although there are blood collection programs in eight of the nine provinces, the SANBS headquarters are located in Constantia Kloof, Gauteng, close to Johannesburg. The Western Cape Blood Service is a distinct blood centre located in the Western Cape. A policy of racial profiling for blood safety engulfed SANBS in 2004 after it was established in 2001 with the amalgamation of seven blood centres.</w:t>
      </w:r>
    </w:p>
    <w:p w14:paraId="42D4367A" w14:textId="5477045E" w:rsidR="00835A5B" w:rsidRDefault="00835A5B">
      <w:pPr>
        <w:rPr>
          <w:rFonts w:ascii="-webkit-standard" w:hAnsi="-webkit-standard"/>
          <w:color w:val="000000"/>
          <w:sz w:val="27"/>
          <w:szCs w:val="27"/>
        </w:rPr>
      </w:pPr>
      <w:r>
        <w:rPr>
          <w:rFonts w:ascii="-webkit-standard" w:hAnsi="-webkit-standard"/>
          <w:color w:val="000000"/>
          <w:sz w:val="27"/>
          <w:szCs w:val="27"/>
        </w:rPr>
        <w:t>SANBS gathers blood from unpaid volunteers and transforms it into transfusion-ready components. Every donation involves testing for illnesses and screening for health hazards. Before the blood is utilised in patients, not all components of the donated blood are always used, such as when the donor is a first-time donor and there is a history of negative test results. The blood plasma from the first donation can be frozen and used, but the red blood cells are thrown away since they cannot be kept for long enough to wait for a second donation and a second round of testing.</w:t>
      </w:r>
    </w:p>
    <w:p w14:paraId="2F05B66B" w14:textId="77777777" w:rsidR="00A3320A" w:rsidRDefault="00835A5B">
      <w:pPr>
        <w:rPr>
          <w:rFonts w:ascii="-webkit-standard" w:hAnsi="-webkit-standard"/>
          <w:color w:val="000000"/>
          <w:sz w:val="27"/>
          <w:szCs w:val="27"/>
        </w:rPr>
      </w:pPr>
      <w:r>
        <w:rPr>
          <w:rFonts w:ascii="-webkit-standard" w:hAnsi="-webkit-standard"/>
          <w:color w:val="000000"/>
          <w:sz w:val="27"/>
          <w:szCs w:val="27"/>
        </w:rPr>
        <w:t xml:space="preserve">Because testing history reduces the likelihood of missing a positive result from a laboratory error or from a donation made during the window period, SANBS depends on donors who return on a regular basis. Since 2005, testing has incorporated nucleic acid testing (NAT), which finds the virus directly rather than waiting for the body to produce an antibody. The window period is shortened but not eliminated by this test. </w:t>
      </w:r>
    </w:p>
    <w:p w14:paraId="20B31D60" w14:textId="65CE1B99" w:rsidR="00835A5B" w:rsidRDefault="00835A5B">
      <w:pPr>
        <w:rPr>
          <w:rFonts w:ascii="-webkit-standard" w:hAnsi="-webkit-standard"/>
          <w:color w:val="000000"/>
          <w:sz w:val="27"/>
          <w:szCs w:val="27"/>
        </w:rPr>
      </w:pPr>
      <w:r>
        <w:rPr>
          <w:rFonts w:ascii="-webkit-standard" w:hAnsi="-webkit-standard"/>
          <w:color w:val="000000"/>
          <w:sz w:val="27"/>
          <w:szCs w:val="27"/>
        </w:rPr>
        <w:t>NAT testing is done by SANBS on an individual donor basis rather than in pools. Since NAT testing is costly, blood banks in many nations, including Canada, use pooled donor samples to conduct the test. Donations during the window period have a greater impact on the individual testing. Central laboratories in Johannesburg and Durban conduct the tests.</w:t>
      </w:r>
    </w:p>
    <w:p w14:paraId="21B69007" w14:textId="6A78BB9F" w:rsidR="00835A5B" w:rsidRDefault="00835A5B">
      <w:pPr>
        <w:rPr>
          <w:rFonts w:ascii="-webkit-standard" w:hAnsi="-webkit-standard"/>
          <w:color w:val="000000"/>
          <w:sz w:val="27"/>
          <w:szCs w:val="27"/>
        </w:rPr>
      </w:pPr>
      <w:r>
        <w:rPr>
          <w:rFonts w:ascii="-webkit-standard" w:hAnsi="-webkit-standard"/>
          <w:color w:val="000000"/>
          <w:sz w:val="27"/>
          <w:szCs w:val="27"/>
        </w:rPr>
        <w:t>To create packed red blood cells and plasma for transfusion, whole blood is drawn. Automated plateletpheresis is also used to harvest platelets and plasma for transfusion. In addition to collecting blood at designated venues, SANBS also conducts mobile blood drives in public places like malls. At seven processing facilities spread around South Africa, the blood is subsequently broken down into its constituent parts. In 2008, SANBS received 11,657 donations of apheresis platelets and 718,962 donations of whole blood.</w:t>
      </w:r>
    </w:p>
    <w:p w14:paraId="63226C81" w14:textId="55F842EC" w:rsidR="00835A5B" w:rsidRDefault="00835A5B">
      <w:pPr>
        <w:rPr>
          <w:rFonts w:ascii="-webkit-standard" w:hAnsi="-webkit-standard"/>
          <w:color w:val="000000"/>
          <w:sz w:val="27"/>
          <w:szCs w:val="27"/>
        </w:rPr>
      </w:pPr>
      <w:r>
        <w:rPr>
          <w:rFonts w:ascii="-webkit-standard" w:hAnsi="-webkit-standard"/>
          <w:color w:val="000000"/>
          <w:sz w:val="27"/>
          <w:szCs w:val="27"/>
        </w:rPr>
        <w:t>Although the Sunflower Fund, a different organisation, handles the actual bone marrow donations, SANBS also offers blood-related laboratory services like paternity testing and the HLA typing of bone marrow donors. Additionally, the organisation conducts research, offers clinical training, and compiles an annual hemovigilance report on transfusion consequences. Seven separate blood banks came together to form the organisation in 2001.</w:t>
      </w:r>
    </w:p>
    <w:p w14:paraId="5CAF1A72" w14:textId="77777777" w:rsidR="006C13CD" w:rsidRDefault="006C13CD">
      <w:pPr>
        <w:rPr>
          <w:rFonts w:ascii="-webkit-standard" w:hAnsi="-webkit-standard"/>
          <w:color w:val="000000"/>
          <w:sz w:val="27"/>
          <w:szCs w:val="27"/>
        </w:rPr>
      </w:pPr>
    </w:p>
    <w:p w14:paraId="5BB2C307" w14:textId="77777777" w:rsidR="006C13CD" w:rsidRDefault="006C13CD">
      <w:pPr>
        <w:rPr>
          <w:rFonts w:ascii="-webkit-standard" w:hAnsi="-webkit-standard"/>
          <w:color w:val="000000"/>
          <w:sz w:val="27"/>
          <w:szCs w:val="27"/>
        </w:rPr>
      </w:pPr>
    </w:p>
    <w:p w14:paraId="0AC04F59" w14:textId="77777777" w:rsidR="006C13CD" w:rsidRDefault="006C13CD">
      <w:pPr>
        <w:rPr>
          <w:rFonts w:ascii="-webkit-standard" w:hAnsi="-webkit-standard"/>
          <w:color w:val="000000"/>
          <w:sz w:val="27"/>
          <w:szCs w:val="27"/>
        </w:rPr>
      </w:pPr>
    </w:p>
    <w:p w14:paraId="2FC92608" w14:textId="4802D5DD" w:rsidR="006C13CD" w:rsidRDefault="006C13CD">
      <w:pPr>
        <w:rPr>
          <w:rFonts w:ascii="-webkit-standard" w:hAnsi="-webkit-standard"/>
          <w:color w:val="000000"/>
          <w:sz w:val="27"/>
          <w:szCs w:val="27"/>
        </w:rPr>
      </w:pPr>
      <w:r>
        <w:rPr>
          <w:rFonts w:ascii="-webkit-standard" w:hAnsi="-webkit-standard"/>
          <w:color w:val="000000"/>
          <w:sz w:val="27"/>
          <w:szCs w:val="27"/>
        </w:rPr>
        <w:lastRenderedPageBreak/>
        <w:t>References</w:t>
      </w:r>
    </w:p>
    <w:p w14:paraId="78BD732F" w14:textId="77777777" w:rsidR="006C13CD" w:rsidRDefault="006C13CD" w:rsidP="006C13CD">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Wikipedia. (2022).</w:t>
      </w:r>
      <w:r>
        <w:rPr>
          <w:rStyle w:val="apple-converted-space"/>
          <w:rFonts w:ascii="Calibri" w:eastAsiaTheme="majorEastAsia" w:hAnsi="Calibri" w:cs="Calibri"/>
          <w:color w:val="000000"/>
          <w:sz w:val="27"/>
          <w:szCs w:val="27"/>
        </w:rPr>
        <w:t> </w:t>
      </w:r>
      <w:r>
        <w:rPr>
          <w:rFonts w:ascii="Calibri" w:hAnsi="Calibri" w:cs="Calibri"/>
          <w:i/>
          <w:iCs/>
          <w:color w:val="000000"/>
          <w:sz w:val="27"/>
          <w:szCs w:val="27"/>
        </w:rPr>
        <w:t>South African National Blood Service</w:t>
      </w:r>
      <w:r>
        <w:rPr>
          <w:rFonts w:ascii="Calibri" w:hAnsi="Calibri" w:cs="Calibri"/>
          <w:color w:val="000000"/>
          <w:sz w:val="27"/>
          <w:szCs w:val="27"/>
        </w:rPr>
        <w:t>. [online] Available at: https://en.wikipedia.org/wiki/South_African_National_Blood_Service.</w:t>
      </w:r>
    </w:p>
    <w:p w14:paraId="16F8CBB0" w14:textId="77777777" w:rsidR="006C13CD" w:rsidRDefault="006C13CD" w:rsidP="006C13CD">
      <w:pPr>
        <w:pStyle w:val="NormalWeb"/>
        <w:shd w:val="clear" w:color="auto" w:fill="FFFFFF"/>
        <w:rPr>
          <w:rFonts w:ascii="Calibri" w:hAnsi="Calibri" w:cs="Calibri"/>
          <w:color w:val="000000"/>
        </w:rPr>
      </w:pPr>
      <w:r>
        <w:rPr>
          <w:rFonts w:ascii="Calibri" w:hAnsi="Calibri" w:cs="Calibri"/>
          <w:color w:val="000000"/>
        </w:rPr>
        <w:t>‌</w:t>
      </w:r>
    </w:p>
    <w:p w14:paraId="367610A7" w14:textId="77777777" w:rsidR="006C13CD" w:rsidRDefault="006C13CD"/>
    <w:sectPr w:rsidR="006C1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A5B"/>
    <w:rsid w:val="000A5EB2"/>
    <w:rsid w:val="000E2E23"/>
    <w:rsid w:val="00534172"/>
    <w:rsid w:val="006C13CD"/>
    <w:rsid w:val="00835A5B"/>
    <w:rsid w:val="00A3320A"/>
    <w:rsid w:val="00C67593"/>
    <w:rsid w:val="00CA3AD6"/>
    <w:rsid w:val="00D54785"/>
    <w:rsid w:val="00F828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C795B0B"/>
  <w15:chartTrackingRefBased/>
  <w15:docId w15:val="{69E8521B-9CD7-4B40-B99C-E30880D24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A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A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A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A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A5B"/>
    <w:rPr>
      <w:rFonts w:eastAsiaTheme="majorEastAsia" w:cstheme="majorBidi"/>
      <w:color w:val="272727" w:themeColor="text1" w:themeTint="D8"/>
    </w:rPr>
  </w:style>
  <w:style w:type="paragraph" w:styleId="Title">
    <w:name w:val="Title"/>
    <w:basedOn w:val="Normal"/>
    <w:next w:val="Normal"/>
    <w:link w:val="TitleChar"/>
    <w:uiPriority w:val="10"/>
    <w:qFormat/>
    <w:rsid w:val="00835A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A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A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5A5B"/>
    <w:rPr>
      <w:i/>
      <w:iCs/>
      <w:color w:val="404040" w:themeColor="text1" w:themeTint="BF"/>
    </w:rPr>
  </w:style>
  <w:style w:type="paragraph" w:styleId="ListParagraph">
    <w:name w:val="List Paragraph"/>
    <w:basedOn w:val="Normal"/>
    <w:uiPriority w:val="34"/>
    <w:qFormat/>
    <w:rsid w:val="00835A5B"/>
    <w:pPr>
      <w:ind w:left="720"/>
      <w:contextualSpacing/>
    </w:pPr>
  </w:style>
  <w:style w:type="character" w:styleId="IntenseEmphasis">
    <w:name w:val="Intense Emphasis"/>
    <w:basedOn w:val="DefaultParagraphFont"/>
    <w:uiPriority w:val="21"/>
    <w:qFormat/>
    <w:rsid w:val="00835A5B"/>
    <w:rPr>
      <w:i/>
      <w:iCs/>
      <w:color w:val="0F4761" w:themeColor="accent1" w:themeShade="BF"/>
    </w:rPr>
  </w:style>
  <w:style w:type="paragraph" w:styleId="IntenseQuote">
    <w:name w:val="Intense Quote"/>
    <w:basedOn w:val="Normal"/>
    <w:next w:val="Normal"/>
    <w:link w:val="IntenseQuoteChar"/>
    <w:uiPriority w:val="30"/>
    <w:qFormat/>
    <w:rsid w:val="00835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A5B"/>
    <w:rPr>
      <w:i/>
      <w:iCs/>
      <w:color w:val="0F4761" w:themeColor="accent1" w:themeShade="BF"/>
    </w:rPr>
  </w:style>
  <w:style w:type="character" w:styleId="IntenseReference">
    <w:name w:val="Intense Reference"/>
    <w:basedOn w:val="DefaultParagraphFont"/>
    <w:uiPriority w:val="32"/>
    <w:qFormat/>
    <w:rsid w:val="00835A5B"/>
    <w:rPr>
      <w:b/>
      <w:bCs/>
      <w:smallCaps/>
      <w:color w:val="0F4761" w:themeColor="accent1" w:themeShade="BF"/>
      <w:spacing w:val="5"/>
    </w:rPr>
  </w:style>
  <w:style w:type="paragraph" w:styleId="NormalWeb">
    <w:name w:val="Normal (Web)"/>
    <w:basedOn w:val="Normal"/>
    <w:uiPriority w:val="99"/>
    <w:semiHidden/>
    <w:unhideWhenUsed/>
    <w:rsid w:val="006C13CD"/>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6C1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2604</Characters>
  <Application>Microsoft Office Word</Application>
  <DocSecurity>0</DocSecurity>
  <Lines>68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Litha Zenande Christine Mbawu</dc:creator>
  <cp:keywords/>
  <dc:description/>
  <cp:lastModifiedBy>Litha Zenande Christine Mbawu</cp:lastModifiedBy>
  <cp:revision>2</cp:revision>
  <dcterms:created xsi:type="dcterms:W3CDTF">2025-08-27T18:34:00Z</dcterms:created>
  <dcterms:modified xsi:type="dcterms:W3CDTF">2025-08-27T18:34:00Z</dcterms:modified>
</cp:coreProperties>
</file>