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029"/>
      </w:tblGrid>
      <w:tr>
        <w:tc>
          <w:tcPr>
            <w:tcW w:type="dxa" w:w="9029"/>
            <w:shd w:fill="1A365D"/>
            <w:tcMar>
              <w:top w:w="280" w:type="dxa"/>
              <w:bottom w:w="280" w:type="dxa"/>
              <w:left w:w="280" w:type="dxa"/>
              <w:right w:w="280" w:type="dxa"/>
            </w:tcMar>
          </w:tcPr>
          <w:p>
            <w:pPr>
              <w:spacing w:after="80"/>
              <w:jc w:val="left"/>
            </w:pPr>
            <w:r>
              <w:rPr>
                <w:rFonts w:ascii="Arial" w:hAnsi="Arial"/>
                <w:b/>
                <w:color w:val="FFFFFF"/>
                <w:sz w:val="40"/>
              </w:rPr>
              <w:t>SYSTEM REQUIREMENTS SPECIFICATION (SRS)</w:t>
            </w:r>
          </w:p>
          <w:p>
            <w:pPr>
              <w:spacing w:after="0"/>
            </w:pPr>
            <w:r>
              <w:rPr>
                <w:rFonts w:ascii="Arial" w:hAnsi="Arial"/>
                <w:i/>
                <w:color w:val="E2E8F0"/>
                <w:sz w:val="24"/>
              </w:rPr>
              <w:t>Modular Sector-Specific Technical Trading Assistant Dashboard</w:t>
            </w:r>
          </w:p>
        </w:tc>
      </w:tr>
    </w:tbl>
    <w:p>
      <w:pPr>
        <w:spacing w:before="240" w:after="240"/>
      </w:pPr>
    </w:p>
    <w:p>
      <w:pPr>
        <w:keepNext/>
        <w:spacing w:before="360" w:after="120"/>
      </w:pPr>
      <w:r>
        <w:rPr>
          <w:rFonts w:ascii="Arial" w:hAnsi="Arial"/>
          <w:b/>
          <w:color w:val="1A365D"/>
          <w:sz w:val="30"/>
        </w:rPr>
        <w:t>1. Executive &amp; Architectural Overview</w:t>
      </w:r>
    </w:p>
    <w:p>
      <w:r>
        <w:t>This document outlines the detailed system requirements, data engineering pipelines, mathematical modeling rules, and application interfaces for a 100% free, end-to-end Technical Trading Assistant and Portfolio Screener. The core value proposition of this application is to bypass costly institutional subscriptions by orchestrating completely open-source financial APIs, advanced feature engineering, and ensemble machine learning algorithms grouped by market sectors.</w:t>
      </w:r>
    </w:p>
    <w:tbl>
      <w:tblPr>
        <w:tblW w:type="auto" w:w="0"/>
        <w:jc w:val="center"/>
        <w:tblLayout w:type="fixed"/>
        <w:tblLook w:firstColumn="1" w:firstRow="1" w:lastColumn="0" w:lastRow="0" w:noHBand="0" w:noVBand="1" w:val="04A0"/>
      </w:tblPr>
      <w:tblGrid>
        <w:gridCol w:w="9029"/>
      </w:tblGrid>
      <w:tr>
        <w:tc>
          <w:tcPr>
            <w:tcW w:type="dxa" w:w="9029"/>
            <w:shd w:fill="F7FAFC"/>
            <w:tcMar>
              <w:top w:w="140" w:type="dxa"/>
              <w:bottom w:w="140" w:type="dxa"/>
              <w:left w:w="200" w:type="dxa"/>
              <w:right w:w="140" w:type="dxa"/>
            </w:tcMar>
            <w:tcBorders>
              <w:left w:val="single" w:sz="24" w:space="0" w:color="2B6CB0"/>
              <w:top w:val="none"/>
              <w:right w:val="none"/>
              <w:bottom w:val="none"/>
            </w:tcBorders>
          </w:tcPr>
          <w:p>
            <w:pPr>
              <w:spacing w:after="80"/>
            </w:pPr>
            <w:r>
              <w:rPr>
                <w:b/>
                <w:color w:val="2B6CB0"/>
                <w:sz w:val="20"/>
              </w:rPr>
              <w:t xml:space="preserve">■ PROMPT ENGINEERING NOTICE: </w:t>
            </w:r>
            <w:r>
              <w:rPr>
                <w:color w:val="2D3748"/>
                <w:sz w:val="20"/>
              </w:rPr>
              <w:t>This requirements document is designed to be fed straight into an advanced AI Developer IDE (like Cursor, Windsurf, or GitHub Copilot) or parsed directly by standard Python automation scripts to establish the foundational boilerplate code.</w:t>
            </w:r>
          </w:p>
        </w:tc>
      </w:tr>
    </w:tbl>
    <w:p>
      <w:pPr>
        <w:keepNext/>
        <w:spacing w:before="280" w:after="80"/>
      </w:pPr>
      <w:r>
        <w:rPr>
          <w:rFonts w:ascii="Arial" w:hAnsi="Arial"/>
          <w:b/>
          <w:color w:val="2B6CB0"/>
          <w:sz w:val="25"/>
        </w:rPr>
        <w:t>1.1 Core System Capabilities</w:t>
      </w:r>
    </w:p>
    <w:p>
      <w:pPr>
        <w:pStyle w:val="ListBullet"/>
      </w:pPr>
      <w:r>
        <w:rPr>
          <w:b/>
        </w:rPr>
        <w:t xml:space="preserve">Automated Multi-Source Screener: </w:t>
      </w:r>
      <w:r>
        <w:t>Nightly cross-sectional evaluation of selected stock watchlists spanning high-growth and defensive sectors.</w:t>
      </w:r>
    </w:p>
    <w:p>
      <w:pPr>
        <w:pStyle w:val="ListBullet"/>
      </w:pPr>
      <w:r>
        <w:rPr>
          <w:b/>
        </w:rPr>
        <w:t xml:space="preserve">Sector-Isolated Machine Learning: </w:t>
      </w:r>
      <w:r>
        <w:t>Independent custom ensemble models designed to match unique industry volatility signatures rather than a unified baseline model.</w:t>
      </w:r>
    </w:p>
    <w:p>
      <w:pPr>
        <w:pStyle w:val="ListBullet"/>
      </w:pPr>
      <w:r>
        <w:rPr>
          <w:b/>
        </w:rPr>
        <w:t xml:space="preserve">Dynamic Execution Bracket Generator: </w:t>
      </w:r>
      <w:r>
        <w:t>Automated calculation of clear target parameters including specific Buy Entries, Take-Profit targets, and structural volatility-based Stop-Loss boundaries.</w:t>
      </w:r>
    </w:p>
    <w:p>
      <w:pPr>
        <w:keepNext/>
        <w:spacing w:before="360" w:after="120"/>
      </w:pPr>
      <w:r>
        <w:rPr>
          <w:rFonts w:ascii="Arial" w:hAnsi="Arial"/>
          <w:b/>
          <w:color w:val="1A365D"/>
          <w:sz w:val="30"/>
        </w:rPr>
        <w:t>2. Sector Cluster Mapping &amp; Parameters</w:t>
      </w:r>
    </w:p>
    <w:p>
      <w:r>
        <w:t>The application splits its assets into designated Sector Clusters. This segmentation isolates completely unique market characteristics, allowing optimized feature scaling and independent algorithmic predictions.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010"/>
        <w:gridCol w:w="3010"/>
        <w:gridCol w:w="3010"/>
      </w:tblGrid>
      <w:tr>
        <w:tc>
          <w:tcPr>
            <w:tcW w:type="dxa" w:w="2592"/>
            <w:shd w:fill="1A365D"/>
            <w:tcMar>
              <w:top w:w="120" w:type="dxa"/>
              <w:bottom w:w="120" w:type="dxa"/>
              <w:left w:w="100" w:type="dxa"/>
              <w:right w:w="100" w:type="dxa"/>
            </w:tcMar>
          </w:tcPr>
          <w:p>
            <w:r>
              <w:rPr>
                <w:b/>
                <w:color w:val="FFFFFF"/>
                <w:sz w:val="20"/>
              </w:rPr>
              <w:t>Sector Rank / Group</w:t>
            </w:r>
          </w:p>
        </w:tc>
        <w:tc>
          <w:tcPr>
            <w:tcW w:type="dxa" w:w="3168"/>
            <w:shd w:fill="1A365D"/>
            <w:tcMar>
              <w:top w:w="120" w:type="dxa"/>
              <w:bottom w:w="120" w:type="dxa"/>
              <w:left w:w="100" w:type="dxa"/>
              <w:right w:w="100" w:type="dxa"/>
            </w:tcMar>
          </w:tcPr>
          <w:p>
            <w:r>
              <w:rPr>
                <w:b/>
                <w:color w:val="FFFFFF"/>
                <w:sz w:val="20"/>
              </w:rPr>
              <w:t>Key Ticker Targets</w:t>
            </w:r>
          </w:p>
        </w:tc>
        <w:tc>
          <w:tcPr>
            <w:tcW w:type="dxa" w:w="3269"/>
            <w:shd w:fill="1A365D"/>
            <w:tcMar>
              <w:top w:w="120" w:type="dxa"/>
              <w:bottom w:w="120" w:type="dxa"/>
              <w:left w:w="100" w:type="dxa"/>
              <w:right w:w="100" w:type="dxa"/>
            </w:tcMar>
          </w:tcPr>
          <w:p>
            <w:r>
              <w:rPr>
                <w:b/>
                <w:color w:val="FFFFFF"/>
                <w:sz w:val="20"/>
              </w:rPr>
              <w:t>Macro Economic Focus Feature</w:t>
            </w:r>
          </w:p>
        </w:tc>
      </w:tr>
      <w:tr>
        <w:tc>
          <w:tcPr>
            <w:tcW w:type="dxa" w:w="2592"/>
            <w:shd w:fill="FFFFFF"/>
            <w:tcMar>
              <w:top w:w="100" w:type="dxa"/>
              <w:bottom w:w="100" w:type="dxa"/>
              <w:left w:w="100" w:type="dxa"/>
              <w:right w:w="100" w:type="dxa"/>
            </w:tcMar>
          </w:tcPr>
          <w:p>
            <w:r>
              <w:rPr>
                <w:b/>
                <w:sz w:val="19"/>
              </w:rPr>
              <w:t>1. Defence &amp; Capital Goods</w:t>
            </w:r>
          </w:p>
        </w:tc>
        <w:tc>
          <w:tcPr>
            <w:tcW w:type="dxa" w:w="3168"/>
            <w:shd w:fill="FFFFFF"/>
            <w:tcMar>
              <w:top w:w="100" w:type="dxa"/>
              <w:bottom w:w="100" w:type="dxa"/>
              <w:left w:w="100" w:type="dxa"/>
              <w:right w:w="100" w:type="dxa"/>
            </w:tcMar>
          </w:tcPr>
          <w:p>
            <w:r>
              <w:rPr>
                <w:sz w:val="19"/>
              </w:rPr>
              <w:t>HAL.NS, BEL.NS, ASTRAMICRO.NS</w:t>
            </w:r>
          </w:p>
        </w:tc>
        <w:tc>
          <w:tcPr>
            <w:tcW w:type="dxa" w:w="3269"/>
            <w:shd w:fill="FFFFFF"/>
            <w:tcMar>
              <w:top w:w="100" w:type="dxa"/>
              <w:bottom w:w="100" w:type="dxa"/>
              <w:left w:w="100" w:type="dxa"/>
              <w:right w:w="100" w:type="dxa"/>
            </w:tcMar>
          </w:tcPr>
          <w:p>
            <w:r>
              <w:rPr>
                <w:sz w:val="19"/>
              </w:rPr>
              <w:t>Government CAPEX Allocations &amp; Budgets</w:t>
            </w:r>
          </w:p>
        </w:tc>
      </w:tr>
      <w:tr>
        <w:tc>
          <w:tcPr>
            <w:tcW w:type="dxa" w:w="2592"/>
            <w:shd w:fill="F7FAFC"/>
            <w:tcMar>
              <w:top w:w="100" w:type="dxa"/>
              <w:bottom w:w="100" w:type="dxa"/>
              <w:left w:w="100" w:type="dxa"/>
              <w:right w:w="100" w:type="dxa"/>
            </w:tcMar>
          </w:tcPr>
          <w:p>
            <w:r>
              <w:rPr>
                <w:b/>
                <w:sz w:val="19"/>
              </w:rPr>
              <w:t>2. BFSI (Banking &amp; Finance)</w:t>
            </w:r>
          </w:p>
        </w:tc>
        <w:tc>
          <w:tcPr>
            <w:tcW w:type="dxa" w:w="3168"/>
            <w:shd w:fill="F7FAFC"/>
            <w:tcMar>
              <w:top w:w="100" w:type="dxa"/>
              <w:bottom w:w="100" w:type="dxa"/>
              <w:left w:w="100" w:type="dxa"/>
              <w:right w:w="100" w:type="dxa"/>
            </w:tcMar>
          </w:tcPr>
          <w:p>
            <w:r>
              <w:rPr>
                <w:sz w:val="19"/>
              </w:rPr>
              <w:t>HDFCBANK.NS, ICICIBANK.NS, AXISBANK.NS</w:t>
            </w:r>
          </w:p>
        </w:tc>
        <w:tc>
          <w:tcPr>
            <w:tcW w:type="dxa" w:w="3269"/>
            <w:shd w:fill="F7FAFC"/>
            <w:tcMar>
              <w:top w:w="100" w:type="dxa"/>
              <w:bottom w:w="100" w:type="dxa"/>
              <w:left w:w="100" w:type="dxa"/>
              <w:right w:w="100" w:type="dxa"/>
            </w:tcMar>
          </w:tcPr>
          <w:p>
            <w:r>
              <w:rPr>
                <w:sz w:val="19"/>
              </w:rPr>
              <w:t>RBI Repo Rates, Credit Growth %</w:t>
            </w:r>
          </w:p>
        </w:tc>
      </w:tr>
      <w:tr>
        <w:tc>
          <w:tcPr>
            <w:tcW w:type="dxa" w:w="2592"/>
            <w:shd w:fill="FFFFFF"/>
            <w:tcMar>
              <w:top w:w="100" w:type="dxa"/>
              <w:bottom w:w="100" w:type="dxa"/>
              <w:left w:w="100" w:type="dxa"/>
              <w:right w:w="100" w:type="dxa"/>
            </w:tcMar>
          </w:tcPr>
          <w:p>
            <w:r>
              <w:rPr>
                <w:b/>
                <w:sz w:val="19"/>
              </w:rPr>
              <w:t>3. Green Energy &amp; EV</w:t>
            </w:r>
          </w:p>
        </w:tc>
        <w:tc>
          <w:tcPr>
            <w:tcW w:type="dxa" w:w="3168"/>
            <w:shd w:fill="FFFFFF"/>
            <w:tcMar>
              <w:top w:w="100" w:type="dxa"/>
              <w:bottom w:w="100" w:type="dxa"/>
              <w:left w:w="100" w:type="dxa"/>
              <w:right w:w="100" w:type="dxa"/>
            </w:tcMar>
          </w:tcPr>
          <w:p>
            <w:r>
              <w:rPr>
                <w:sz w:val="19"/>
              </w:rPr>
              <w:t>TATAPOWER.NS, RELIANCE.NS, BOSCHLTD.NS</w:t>
            </w:r>
          </w:p>
        </w:tc>
        <w:tc>
          <w:tcPr>
            <w:tcW w:type="dxa" w:w="3269"/>
            <w:shd w:fill="FFFFFF"/>
            <w:tcMar>
              <w:top w:w="100" w:type="dxa"/>
              <w:bottom w:w="100" w:type="dxa"/>
              <w:left w:w="100" w:type="dxa"/>
              <w:right w:w="100" w:type="dxa"/>
            </w:tcMar>
          </w:tcPr>
          <w:p>
            <w:r>
              <w:rPr>
                <w:sz w:val="19"/>
              </w:rPr>
              <w:t>Crude Oil Spots, Clean Tech Policy Index</w:t>
            </w:r>
          </w:p>
        </w:tc>
      </w:tr>
      <w:tr>
        <w:tc>
          <w:tcPr>
            <w:tcW w:type="dxa" w:w="2592"/>
            <w:shd w:fill="F7FAFC"/>
            <w:tcMar>
              <w:top w:w="100" w:type="dxa"/>
              <w:bottom w:w="100" w:type="dxa"/>
              <w:left w:w="100" w:type="dxa"/>
              <w:right w:w="100" w:type="dxa"/>
            </w:tcMar>
          </w:tcPr>
          <w:p>
            <w:r>
              <w:rPr>
                <w:b/>
                <w:sz w:val="19"/>
              </w:rPr>
              <w:t>4. Information Technology</w:t>
            </w:r>
          </w:p>
        </w:tc>
        <w:tc>
          <w:tcPr>
            <w:tcW w:type="dxa" w:w="3168"/>
            <w:shd w:fill="F7FAFC"/>
            <w:tcMar>
              <w:top w:w="100" w:type="dxa"/>
              <w:bottom w:w="100" w:type="dxa"/>
              <w:left w:w="100" w:type="dxa"/>
              <w:right w:w="100" w:type="dxa"/>
            </w:tcMar>
          </w:tcPr>
          <w:p>
            <w:r>
              <w:rPr>
                <w:sz w:val="19"/>
              </w:rPr>
              <w:t>TCS.NS, INFY.NS, CYIENT.NS</w:t>
            </w:r>
          </w:p>
        </w:tc>
        <w:tc>
          <w:tcPr>
            <w:tcW w:type="dxa" w:w="3269"/>
            <w:shd w:fill="F7FAFC"/>
            <w:tcMar>
              <w:top w:w="100" w:type="dxa"/>
              <w:bottom w:w="100" w:type="dxa"/>
              <w:left w:w="100" w:type="dxa"/>
              <w:right w:w="100" w:type="dxa"/>
            </w:tcMar>
          </w:tcPr>
          <w:p>
            <w:r>
              <w:rPr>
                <w:sz w:val="19"/>
              </w:rPr>
              <w:t>NASDAQ Relative Strength, Dollar Index (DXY)</w:t>
            </w:r>
          </w:p>
        </w:tc>
      </w:tr>
      <w:tr>
        <w:tc>
          <w:tcPr>
            <w:tcW w:type="dxa" w:w="2592"/>
            <w:shd w:fill="FFFFFF"/>
            <w:tcMar>
              <w:top w:w="100" w:type="dxa"/>
              <w:bottom w:w="100" w:type="dxa"/>
              <w:left w:w="100" w:type="dxa"/>
              <w:right w:w="100" w:type="dxa"/>
            </w:tcMar>
          </w:tcPr>
          <w:p>
            <w:r>
              <w:rPr>
                <w:b/>
                <w:sz w:val="19"/>
              </w:rPr>
              <w:t>5. FMCG (Defensive Group)</w:t>
            </w:r>
          </w:p>
        </w:tc>
        <w:tc>
          <w:tcPr>
            <w:tcW w:type="dxa" w:w="3168"/>
            <w:shd w:fill="FFFFFF"/>
            <w:tcMar>
              <w:top w:w="100" w:type="dxa"/>
              <w:bottom w:w="100" w:type="dxa"/>
              <w:left w:w="100" w:type="dxa"/>
              <w:right w:w="100" w:type="dxa"/>
            </w:tcMar>
          </w:tcPr>
          <w:p>
            <w:r>
              <w:rPr>
                <w:sz w:val="19"/>
              </w:rPr>
              <w:t>ITC.NS, HINDUNILVR.NS, NESTLEIND.NS</w:t>
            </w:r>
          </w:p>
        </w:tc>
        <w:tc>
          <w:tcPr>
            <w:tcW w:type="dxa" w:w="3269"/>
            <w:shd w:fill="FFFFFF"/>
            <w:tcMar>
              <w:top w:w="100" w:type="dxa"/>
              <w:bottom w:w="100" w:type="dxa"/>
              <w:left w:w="100" w:type="dxa"/>
              <w:right w:w="100" w:type="dxa"/>
            </w:tcMar>
          </w:tcPr>
          <w:p>
            <w:r>
              <w:rPr>
                <w:sz w:val="19"/>
              </w:rPr>
              <w:t>Consumer Price Index (CPI), Rural Spend Trends</w:t>
            </w:r>
          </w:p>
        </w:tc>
      </w:tr>
    </w:tbl>
    <w:p>
      <w:pPr>
        <w:spacing w:before="160"/>
      </w:pPr>
    </w:p>
    <w:p>
      <w:pPr>
        <w:keepNext/>
        <w:spacing w:before="360" w:after="120"/>
      </w:pPr>
      <w:r>
        <w:rPr>
          <w:rFonts w:ascii="Arial" w:hAnsi="Arial"/>
          <w:b/>
          <w:color w:val="1A365D"/>
          <w:sz w:val="30"/>
        </w:rPr>
        <w:t>3. Unified Technical Data Infrastructure</w:t>
      </w:r>
    </w:p>
    <w:p>
      <w:r>
        <w:t>The application must build completely unified historical data arrays using free pipelines. No commercial subscription layers or premium tokens are permitted.</w:t>
      </w:r>
    </w:p>
    <w:p>
      <w:pPr>
        <w:keepNext/>
        <w:spacing w:before="280" w:after="80"/>
      </w:pPr>
      <w:r>
        <w:rPr>
          <w:rFonts w:ascii="Arial" w:hAnsi="Arial"/>
          <w:b/>
          <w:color w:val="2B6CB0"/>
          <w:sz w:val="25"/>
        </w:rPr>
        <w:t>3.1 Core APIs and Package Libraries</w:t>
      </w:r>
    </w:p>
    <w:p>
      <w:pPr>
        <w:pStyle w:val="ListBullet"/>
      </w:pPr>
      <w:r>
        <w:rPr>
          <w:b/>
        </w:rPr>
        <w:t xml:space="preserve">yfinance: </w:t>
      </w:r>
      <w:r>
        <w:t>Used to extract OHLCV (Open, High, Low, Close, Volume) data arrays. Daily data intervals should map out minimum 3-5 rolling years of depth to ensure deep mathematical baselines.</w:t>
      </w:r>
    </w:p>
    <w:p>
      <w:pPr>
        <w:pStyle w:val="ListBullet"/>
      </w:pPr>
      <w:r>
        <w:rPr>
          <w:b/>
        </w:rPr>
        <w:t xml:space="preserve">pandas-ta / ta: </w:t>
      </w:r>
      <w:r>
        <w:t>Calculates technical indicators from pure price bins without manual calculation matrices.</w:t>
      </w:r>
    </w:p>
    <w:p>
      <w:pPr>
        <w:pStyle w:val="ListBullet"/>
      </w:pPr>
      <w:r>
        <w:rPr>
          <w:b/>
        </w:rPr>
        <w:t xml:space="preserve">pandas_datareader (FRED Engine): </w:t>
      </w:r>
      <w:r>
        <w:t>Pulls central macroeconomic data streams (e.g., oil spot values, macro rate data) seamlessly into training loops.</w:t>
      </w:r>
    </w:p>
    <w:p>
      <w:pPr>
        <w:pStyle w:val="ListBullet"/>
      </w:pPr>
      <w:r>
        <w:rPr>
          <w:b/>
        </w:rPr>
        <w:t xml:space="preserve">newsapi-python / feedparser: </w:t>
      </w:r>
      <w:r>
        <w:t>Gathers text headlines dynamically from public financial indexes and RSS feeds for sentiment token evaluation.</w:t>
      </w:r>
    </w:p>
    <w:p>
      <w:pPr>
        <w:keepNext/>
        <w:spacing w:before="280" w:after="80"/>
      </w:pPr>
      <w:r>
        <w:rPr>
          <w:rFonts w:ascii="Arial" w:hAnsi="Arial"/>
          <w:b/>
          <w:color w:val="2B6CB0"/>
          <w:sz w:val="25"/>
        </w:rPr>
        <w:t>3.2 Engine Feature Extraction Matrices</w:t>
      </w:r>
    </w:p>
    <w:p>
      <w:r>
        <w:t>The data processing script must convert raw OHLCV price bins into the following definitive model features:</w:t>
      </w:r>
    </w:p>
    <w:p>
      <w:pPr>
        <w:pStyle w:val="ListBullet"/>
      </w:pPr>
      <w:r>
        <w:rPr>
          <w:b/>
        </w:rPr>
        <w:t xml:space="preserve">Momentum Layer: </w:t>
      </w:r>
      <w:r>
        <w:t>14-Day Relative Strength Index (RSI). Captures overextended price trends.</w:t>
      </w:r>
    </w:p>
    <w:p>
      <w:pPr>
        <w:pStyle w:val="ListBullet"/>
      </w:pPr>
      <w:r>
        <w:rPr>
          <w:b/>
        </w:rPr>
        <w:t xml:space="preserve">Volatility Layer: </w:t>
      </w:r>
      <w:r>
        <w:t>14-Day Average True Range (ATR). Tracks cross-sectional asset noise.</w:t>
      </w:r>
    </w:p>
    <w:p>
      <w:pPr>
        <w:pStyle w:val="ListBullet"/>
      </w:pPr>
      <w:r>
        <w:rPr>
          <w:b/>
        </w:rPr>
        <w:t xml:space="preserve">Trend Layer: </w:t>
      </w:r>
      <w:r>
        <w:t>50-Day &amp; 200-Day Simple Moving Averages (SMA) to establish structural support levels.</w:t>
      </w:r>
    </w:p>
    <w:p>
      <w:pPr>
        <w:pStyle w:val="ListBullet"/>
      </w:pPr>
      <w:r>
        <w:rPr>
          <w:b/>
        </w:rPr>
        <w:t xml:space="preserve">Macro Blend Layer: </w:t>
      </w:r>
      <w:r>
        <w:t>Merged exogenous variables matching the specific routed sector index.</w:t>
      </w:r>
    </w:p>
    <w:p>
      <w:pPr>
        <w:keepNext/>
        <w:spacing w:before="360" w:after="120"/>
      </w:pPr>
      <w:r>
        <w:rPr>
          <w:rFonts w:ascii="Arial" w:hAnsi="Arial"/>
          <w:b/>
          <w:color w:val="1A365D"/>
          <w:sz w:val="30"/>
        </w:rPr>
        <w:t>4. The AI/ML Modeling Blueprint</w:t>
      </w:r>
    </w:p>
    <w:p>
      <w:r>
        <w:t>The system relies on a dual-model framework optimized using fast, tabular ensemble tree layers instead of overfitted sequential deep neural configurations. Each configured sector operates its own distinct pair of engines.</w:t>
      </w:r>
    </w:p>
    <w:p>
      <w:pPr>
        <w:keepNext/>
        <w:spacing w:before="280" w:after="80"/>
      </w:pPr>
      <w:r>
        <w:rPr>
          <w:rFonts w:ascii="Arial" w:hAnsi="Arial"/>
          <w:b/>
          <w:color w:val="2B6CB0"/>
          <w:sz w:val="25"/>
        </w:rPr>
        <w:t>4.1 Model 1: The Directional Classifier (Will it Rise?)</w:t>
      </w:r>
    </w:p>
    <w:p>
      <w:r>
        <w:t>Algorithm Preference: Extreme Gradient Boosting (XGBoost Classifier) or Random Forest Classifier.</w:t>
      </w:r>
    </w:p>
    <w:p>
      <w:r>
        <w:t>Mathematical Framework: Predicts the binary threshold probability that the upcoming 5-day horizon closing valuation is greater than the current session closing price.</w:t>
      </w:r>
    </w:p>
    <w:p>
      <w:r>
        <w:t>Target Definition Formula:</w:t>
      </w:r>
    </w:p>
    <w:p>
      <w:pPr>
        <w:jc w:val="center"/>
      </w:pPr>
      <w:r>
        <w:rPr>
          <w:rFonts w:ascii="Courier New" w:hAnsi="Courier New"/>
          <w:b/>
          <w:color w:val="2B6CB0"/>
          <w:sz w:val="22"/>
        </w:rPr>
        <w:t>Target_Direction = If ( Close(t + 5) &gt; Close(t) ) Then 1 Else 0</w:t>
      </w:r>
    </w:p>
    <w:p>
      <w:pPr>
        <w:keepNext/>
        <w:spacing w:before="280" w:after="80"/>
      </w:pPr>
      <w:r>
        <w:rPr>
          <w:rFonts w:ascii="Arial" w:hAnsi="Arial"/>
          <w:b/>
          <w:color w:val="2B6CB0"/>
          <w:sz w:val="25"/>
        </w:rPr>
        <w:t>4.2 Model 2: The Magnitude Regressor (By How Much?)</w:t>
      </w:r>
    </w:p>
    <w:p>
      <w:r>
        <w:t>Algorithm Preference: XGBoost Regressor or Random Forest Regressor.</w:t>
      </w:r>
    </w:p>
    <w:p>
      <w:r>
        <w:t>Mathematical Framework: Runs continuously alongside the Directional Classifier to estimate the forward alpha percentage jump. This defines upcoming profitability metrics.</w:t>
      </w:r>
    </w:p>
    <w:p>
      <w:r>
        <w:t>Target Return Formula:</w:t>
      </w:r>
    </w:p>
    <w:p>
      <w:pPr>
        <w:jc w:val="center"/>
      </w:pPr>
      <w:r>
        <w:rPr>
          <w:rFonts w:ascii="Courier New" w:hAnsi="Courier New"/>
          <w:b/>
          <w:color w:val="2B6CB0"/>
          <w:sz w:val="22"/>
        </w:rPr>
        <w:t>Target_Return = [ Close(t + 5) - Close(t) ] / Close(t)</w:t>
      </w:r>
    </w:p>
    <w:p>
      <w:pPr>
        <w:keepNext/>
        <w:spacing w:before="360" w:after="120"/>
      </w:pPr>
      <w:r>
        <w:rPr>
          <w:rFonts w:ascii="Arial" w:hAnsi="Arial"/>
          <w:b/>
          <w:color w:val="1A365D"/>
          <w:sz w:val="30"/>
        </w:rPr>
        <w:t>5. Trade Execution &amp; Risk Management Logic</w:t>
      </w:r>
    </w:p>
    <w:p>
      <w:r>
        <w:t>The system strictly prevents unmanaged entries. Trades are only recommended if specific mathematical constraints align across all modules.</w:t>
      </w:r>
    </w:p>
    <w:p>
      <w:pPr>
        <w:keepNext/>
        <w:spacing w:before="280" w:after="80"/>
      </w:pPr>
      <w:r>
        <w:rPr>
          <w:rFonts w:ascii="Arial" w:hAnsi="Arial"/>
          <w:b/>
          <w:color w:val="2B6CB0"/>
          <w:sz w:val="25"/>
        </w:rPr>
        <w:t>5.1 Recommendation Constraints Matrix</w:t>
      </w:r>
    </w:p>
    <w:p>
      <w:pPr>
        <w:pStyle w:val="ListBullet"/>
      </w:pPr>
      <w:r>
        <w:rPr>
          <w:b/>
        </w:rPr>
        <w:t xml:space="preserve">Confidence Check: </w:t>
      </w:r>
      <w:r>
        <w:t>The Directional Classifier model output probability score must exceed a strict 75% threshold baseline.</w:t>
      </w:r>
    </w:p>
    <w:p>
      <w:pPr>
        <w:pStyle w:val="ListBullet"/>
      </w:pPr>
      <w:r>
        <w:rPr>
          <w:b/>
        </w:rPr>
        <w:t xml:space="preserve">Minimum Margin Alpha: </w:t>
      </w:r>
      <w:r>
        <w:t>The Magnitude Regressor engine must predict an upcoming return value greater than +2.00% over the next 5-day market holding pool.</w:t>
      </w:r>
    </w:p>
    <w:p>
      <w:pPr>
        <w:keepNext/>
        <w:spacing w:before="280" w:after="80"/>
      </w:pPr>
      <w:r>
        <w:rPr>
          <w:rFonts w:ascii="Arial" w:hAnsi="Arial"/>
          <w:b/>
          <w:color w:val="2B6CB0"/>
          <w:sz w:val="25"/>
        </w:rPr>
        <w:t>5.2 Automation Brackets (When to Sell)</w:t>
      </w:r>
    </w:p>
    <w:p>
      <w:r>
        <w:t>The application must calculate strict, absolute protective price boundaries exactly when a buy signal fires:</w:t>
      </w:r>
    </w:p>
    <w:p>
      <w:pPr>
        <w:pStyle w:val="ListBullet"/>
      </w:pPr>
      <w:r>
        <w:rPr>
          <w:b/>
        </w:rPr>
        <w:t xml:space="preserve">Suggested Buy Price: </w:t>
      </w:r>
      <w:r>
        <w:t>Calculated directly from the current active closing asset tick.</w:t>
      </w:r>
    </w:p>
    <w:p>
      <w:pPr>
        <w:pStyle w:val="ListBullet"/>
      </w:pPr>
      <w:r>
        <w:rPr>
          <w:b/>
        </w:rPr>
        <w:t xml:space="preserve">Take-Profit (Sell Target): </w:t>
      </w:r>
      <w:r>
        <w:t>Set exactly at the predicted upcoming percentage alpha returned by the magnitude engine.</w:t>
      </w:r>
    </w:p>
    <w:p>
      <w:pPr>
        <w:pStyle w:val="ListBullet"/>
      </w:pPr>
      <w:r>
        <w:rPr>
          <w:b/>
        </w:rPr>
        <w:t xml:space="preserve">Stop-Loss (Protective Exit): </w:t>
      </w:r>
      <w:r>
        <w:t>Bound directly to the asset's structural volatility to prevent arbitrary early exits. Calculated as:</w:t>
      </w:r>
    </w:p>
    <w:p>
      <w:pPr>
        <w:jc w:val="center"/>
      </w:pPr>
      <w:r>
        <w:rPr>
          <w:rFonts w:ascii="Courier New" w:hAnsi="Courier New"/>
          <w:b/>
          <w:color w:val="2B6CB0"/>
          <w:sz w:val="22"/>
        </w:rPr>
        <w:t>Stop_Loss_Price = Current_Price - (1.5 * ATR)</w:t>
      </w:r>
    </w:p>
    <w:p>
      <w:pPr>
        <w:keepNext/>
        <w:spacing w:before="360" w:after="120"/>
      </w:pPr>
      <w:r>
        <w:rPr>
          <w:rFonts w:ascii="Arial" w:hAnsi="Arial"/>
          <w:b/>
          <w:color w:val="1A365D"/>
          <w:sz w:val="30"/>
        </w:rPr>
        <w:t>6. Interface Dashboard &amp; Deployment Layout</w:t>
      </w:r>
    </w:p>
    <w:p>
      <w:r>
        <w:t>The user deployment framework should leverage Streamlit to construct a highly responsive local browser-based frontend using 100% Python code.</w:t>
      </w:r>
    </w:p>
    <w:p>
      <w:pPr>
        <w:keepNext/>
        <w:spacing w:before="280" w:after="80"/>
      </w:pPr>
      <w:r>
        <w:rPr>
          <w:rFonts w:ascii="Arial" w:hAnsi="Arial"/>
          <w:b/>
          <w:color w:val="2B6CB0"/>
          <w:sz w:val="25"/>
        </w:rPr>
        <w:t>6.1 Graphical User Interface Widgets</w:t>
      </w:r>
    </w:p>
    <w:p>
      <w:pPr>
        <w:pStyle w:val="ListBullet"/>
      </w:pPr>
      <w:r>
        <w:rPr>
          <w:b/>
        </w:rPr>
        <w:t xml:space="preserve">Watchlist Control Block: </w:t>
      </w:r>
      <w:r>
        <w:t>An interactive sidebar text area field allowing rapid configuration adjustments to target stock ticker listings.</w:t>
      </w:r>
    </w:p>
    <w:p>
      <w:pPr>
        <w:pStyle w:val="ListBullet"/>
      </w:pPr>
      <w:r>
        <w:rPr>
          <w:b/>
        </w:rPr>
        <w:t xml:space="preserve">Ranked Recommendations Board: </w:t>
      </w:r>
      <w:r>
        <w:t>A unified data matrix containing columns ordered by: Ticker, Sector, Current Asset Value, Predicted Alpha Horizon %, Target Entry, Target Profit Sell, and Structural Stop-Loss Close.</w:t>
      </w:r>
    </w:p>
    <w:p>
      <w:pPr>
        <w:pStyle w:val="ListBullet"/>
      </w:pPr>
      <w:r>
        <w:rPr>
          <w:b/>
        </w:rPr>
        <w:t xml:space="preserve">Historical Charts Element: </w:t>
      </w:r>
      <w:r>
        <w:t>Interactive candlestick charts plotted using st.plotly_chart or standard matplotlib backends highlighting rolling trend indicators.</w:t>
      </w:r>
    </w:p>
    <w:p>
      <w:pPr>
        <w:keepNext/>
        <w:spacing w:before="280" w:after="80"/>
      </w:pPr>
      <w:r>
        <w:rPr>
          <w:rFonts w:ascii="Arial" w:hAnsi="Arial"/>
          <w:b/>
          <w:color w:val="2B6CB0"/>
          <w:sz w:val="25"/>
        </w:rPr>
        <w:t>6.2 Automated Local Task Orchestration</w:t>
      </w:r>
    </w:p>
    <w:p>
      <w:r>
        <w:t>To keep standard operation pipelines frictionless and automated, the application script file should support native headless execution via CLI arguments. This allows local OS automation systems (like Windows Task Scheduler or Unix crontab daemons) to run the scripts every evening precisely 30 minutes after market settlement without requiring explicit manual initialization.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