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rPr>
          <w:rFonts w:ascii="Calibri" w:cs="Calibri" w:eastAsia="Calibri" w:hAnsi="Calibri"/>
          <w:sz w:val="22"/>
          <w:szCs w:val="22"/>
        </w:rPr>
        <w:t xml:space="preserve"/>
      </w:r>
    </w:p>
    <w:p>
      <w:pPr>
        <w:pStyle w:val="Title"/>
        <w:spacing w:after="120"/>
        <w:jc w:val="center"/>
      </w:pPr>
      <w:r>
        <w:rPr>
          <w:rFonts w:ascii="Calibri" w:cs="Calibri" w:eastAsia="Calibri" w:hAnsi="Calibri"/>
          <w:sz w:val="22"/>
          <w:szCs w:val="22"/>
        </w:rPr>
        <w:t xml:space="preserve">STOCKJAWN Volatility Opportunity Engine</w:t>
      </w:r>
    </w:p>
    <w:p>
      <w:pPr>
        <w:spacing w:after="120"/>
        <w:jc w:val="center"/>
      </w:pPr>
      <w:r>
        <w:rPr>
          <w:rFonts w:ascii="Calibri" w:cs="Calibri" w:eastAsia="Calibri" w:hAnsi="Calibri"/>
          <w:i/>
          <w:iCs/>
          <w:sz w:val="26"/>
          <w:szCs w:val="26"/>
        </w:rPr>
        <w:t xml:space="preserve">Critical Review of Deep Research Report &amp; Architectural Recommendation</w:t>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July 14, 2026</w:t>
      </w:r>
    </w:p>
    <w:p>
      <w:pPr>
        <w:spacing w:after="120"/>
        <w:jc w:val="center"/>
      </w:pPr>
      <w:r>
        <w:rPr>
          <w:rFonts w:ascii="Calibri" w:cs="Calibri" w:eastAsia="Calibri" w:hAnsi="Calibri"/>
          <w:sz w:val="22"/>
          <w:szCs w:val="22"/>
        </w:rPr>
        <w:t xml:space="preserve">Prepared for: Lou Smart</w:t>
      </w:r>
    </w:p>
    <w:p>
      <w:pPr>
        <w:spacing w:after="120"/>
        <w:jc w:val="center"/>
      </w:pPr>
      <w:r>
        <w:rPr>
          <w:rFonts w:ascii="Calibri" w:cs="Calibri" w:eastAsia="Calibri" w:hAnsi="Calibri"/>
          <w:i/>
          <w:iCs/>
          <w:sz w:val="22"/>
          <w:szCs w:val="22"/>
        </w:rPr>
        <w:t xml:space="preserve">Classification: Internal — Architecture Decision Record</w:t>
      </w:r>
    </w:p>
    <w:p>
      <w:r>
        <w:br w:type="page"/>
      </w:r>
    </w:p>
    <w:p>
      <w:pPr>
        <w:pStyle w:val="Heading1"/>
        <w:spacing w:after="120" w:before="240"/>
      </w:pPr>
      <w:r>
        <w:rPr>
          <w:rFonts w:ascii="Calibri" w:cs="Calibri" w:eastAsia="Calibri" w:hAnsi="Calibri"/>
          <w:b/>
          <w:bCs/>
          <w:sz w:val="22"/>
          <w:szCs w:val="22"/>
        </w:rPr>
        <w:t xml:space="preserve">Phase 1 — Research Validation</w:t>
      </w:r>
    </w:p>
    <w:p>
      <w:pPr>
        <w:pStyle w:val="Heading2"/>
        <w:spacing w:after="120" w:before="240"/>
      </w:pPr>
      <w:r>
        <w:rPr>
          <w:rFonts w:ascii="Calibri" w:cs="Calibri" w:eastAsia="Calibri" w:hAnsi="Calibri"/>
          <w:b/>
          <w:bCs/>
          <w:sz w:val="22"/>
          <w:szCs w:val="22"/>
        </w:rPr>
        <w:t xml:space="preserve">1.1 Summary of the Report</w:t>
      </w:r>
    </w:p>
    <w:p>
      <w:pPr>
        <w:spacing w:after="120"/>
      </w:pPr>
      <w:r>
        <w:rPr>
          <w:rFonts w:ascii="Calibri" w:cs="Calibri" w:eastAsia="Calibri" w:hAnsi="Calibri"/>
          <w:sz w:val="22"/>
          <w:szCs w:val="22"/>
        </w:rPr>
        <w:t xml:space="preserve">The report analyzes 10 volatile stocks (AMC, DNA, ALMU, ANL, RR, JMIA, TMCI, OSS, NVDA, TSLA) and proposes a hybrid dip-detection system combining rule-based filters (RSI &lt; 30, ATR percentile &gt; 80, Bollinger squeeze, gap &gt;= 5%, volume &gt; 1.5x) with an ML classifier. It recommends entry on confirmed bounces above the lower Bollinger Band, exits at 5-10% gain, and strict risk controls.</w:t>
      </w:r>
    </w:p>
    <w:p>
      <w:pPr>
        <w:pStyle w:val="Heading2"/>
        <w:spacing w:after="120" w:before="240"/>
      </w:pPr>
      <w:r>
        <w:rPr>
          <w:rFonts w:ascii="Calibri" w:cs="Calibri" w:eastAsia="Calibri" w:hAnsi="Calibri"/>
          <w:b/>
          <w:bCs/>
          <w:sz w:val="22"/>
          <w:szCs w:val="22"/>
        </w:rPr>
        <w:t xml:space="preserve">1.2 Evidence Assessment</w:t>
      </w:r>
    </w:p>
    <w:p>
      <w:pPr>
        <w:spacing w:after="120"/>
      </w:pPr>
      <w:r>
        <w:rPr>
          <w:rFonts w:ascii="Calibri" w:cs="Calibri" w:eastAsia="Calibri" w:hAnsi="Calibri"/>
          <w:b/>
          <w:bCs/>
          <w:sz w:val="22"/>
          <w:szCs w:val="22"/>
        </w:rPr>
        <w:t xml:space="preserve">Conclusion 1: RSI &lt; 30 precedes tradable bounces. </w:t>
      </w:r>
      <w:r>
        <w:rPr>
          <w:rFonts w:ascii="Calibri" w:cs="Calibri" w:eastAsia="Calibri" w:hAnsi="Calibri"/>
          <w:sz w:val="22"/>
          <w:szCs w:val="22"/>
        </w:rPr>
        <w:t xml:space="preserve">SUPPORTED WITH CAVEATS. RSI as an oversold indicator is well-established in technical analysis literature. However, the report cites only 3-4 cases where RSI &lt; 30 preceded a bounce (DNA, ANL, TSLA, partially NVDA). This is anecdotal confirmation, not statistical proof. RSI &lt; 30 in a true downtrend (as opposed to a dip in an uptrend) frequently precedes further decline. The report does not distinguish between these scenarios or cite base rates for RSI &lt; 30 reversals vs. continuations.</w:t>
      </w:r>
    </w:p>
    <w:p>
      <w:pPr>
        <w:spacing w:after="120"/>
      </w:pPr>
      <w:r>
        <w:rPr>
          <w:rFonts w:ascii="Calibri" w:cs="Calibri" w:eastAsia="Calibri" w:hAnsi="Calibri"/>
          <w:b/>
          <w:bCs/>
          <w:sz w:val="22"/>
          <w:szCs w:val="22"/>
        </w:rPr>
        <w:t xml:space="preserve">Conclusion 2: ATR &gt; 80th percentile signals tradable setups. </w:t>
      </w:r>
      <w:r>
        <w:rPr>
          <w:rFonts w:ascii="Calibri" w:cs="Calibri" w:eastAsia="Calibri" w:hAnsi="Calibri"/>
          <w:sz w:val="22"/>
          <w:szCs w:val="22"/>
        </w:rPr>
        <w:t xml:space="preserve">PARTIALLY SUPPORTED. The report correctly notes ATR measures volatility amplitude, but never computes actual ATR percentile rankings for its case studies — it says 'ATR in ~80-90th percentile' without showing the calculation. More critically, high ATR means large moves in BOTH directions. Without evidence that high ATR specifically favors mean reversion over continuation, the threshold is arbitrary. The report conflates 'high volatility' with 'opportunity' without demonstrating the edge.</w:t>
      </w:r>
    </w:p>
    <w:p>
      <w:pPr>
        <w:spacing w:after="120"/>
      </w:pPr>
      <w:r>
        <w:rPr>
          <w:rFonts w:ascii="Calibri" w:cs="Calibri" w:eastAsia="Calibri" w:hAnsi="Calibri"/>
          <w:b/>
          <w:bCs/>
          <w:sz w:val="22"/>
          <w:szCs w:val="22"/>
        </w:rPr>
        <w:t xml:space="preserve">Conclusion 3: Bollinger squeeze predicts breakouts. </w:t>
      </w:r>
      <w:r>
        <w:rPr>
          <w:rFonts w:ascii="Calibri" w:cs="Calibri" w:eastAsia="Calibri" w:hAnsi="Calibri"/>
          <w:sz w:val="22"/>
          <w:szCs w:val="22"/>
        </w:rPr>
        <w:t xml:space="preserve">WELL-ESTABLISHED. The Bollinger squeeze (low bandwidth preceding expansion) is one of the better-documented technical patterns. The report's use of bandwidth &lt; 10% of price and the GAP 2012 chart example are legitimate. However, squeeze does not predict DIRECTION — it only predicts that a move is coming. The report presents this correctly for breakouts but conflates it with dip-buying, which is a different use case.</w:t>
      </w:r>
    </w:p>
    <w:p>
      <w:pPr>
        <w:spacing w:after="120"/>
      </w:pPr>
      <w:r>
        <w:rPr>
          <w:rFonts w:ascii="Calibri" w:cs="Calibri" w:eastAsia="Calibri" w:hAnsi="Calibri"/>
          <w:b/>
          <w:bCs/>
          <w:sz w:val="22"/>
          <w:szCs w:val="22"/>
        </w:rPr>
        <w:t xml:space="preserve">Conclusion 4: Gap &gt;= 5% + Volume &gt; 1.5x identifies opportunity. </w:t>
      </w:r>
      <w:r>
        <w:rPr>
          <w:rFonts w:ascii="Calibri" w:cs="Calibri" w:eastAsia="Calibri" w:hAnsi="Calibri"/>
          <w:sz w:val="22"/>
          <w:szCs w:val="22"/>
        </w:rPr>
        <w:t xml:space="preserve">REASONABLE BUT INCOMPLETE. Gap + volume is a genuine signal, but gap quality matters enormously. An earnings gap (DNA -12%) behaves differently from a news gap (AMC +6%) or a no-catalyst gap (ALMU +10%). The report groups all gaps together, which is a significant analytical weakness. Gap fill probability depends heavily on gap type, market regime, and whether the gap occurs at support/resistance.</w:t>
      </w:r>
    </w:p>
    <w:p>
      <w:pPr>
        <w:spacing w:after="120"/>
      </w:pPr>
      <w:r>
        <w:rPr>
          <w:rFonts w:ascii="Calibri" w:cs="Calibri" w:eastAsia="Calibri" w:hAnsi="Calibri"/>
          <w:b/>
          <w:bCs/>
          <w:sz w:val="22"/>
          <w:szCs w:val="22"/>
        </w:rPr>
        <w:t xml:space="preserve">Conclusion 5: A hybrid ML + rules system yields a reliable DipSignalScore. </w:t>
      </w:r>
      <w:r>
        <w:rPr>
          <w:rFonts w:ascii="Calibri" w:cs="Calibri" w:eastAsia="Calibri" w:hAnsi="Calibri"/>
          <w:sz w:val="22"/>
          <w:szCs w:val="22"/>
        </w:rPr>
        <w:t xml:space="preserve">HYPOTHESIS — NO EVIDENCE. The report proposes an ML classifier but provides zero training data, no backtest results, no precision/recall metrics, and no comparison to random entry. The pseudo-SQL and Python snippets are illustrative, not evidence. The feature importance chart is from an unrelated 'volatility forecasting RFE process' and is not from the proposed system. This is the weakest part of the report.</w:t>
      </w:r>
    </w:p>
    <w:p>
      <w:pPr>
        <w:pStyle w:val="Heading2"/>
        <w:spacing w:after="120" w:before="240"/>
      </w:pPr>
      <w:r>
        <w:rPr>
          <w:rFonts w:ascii="Calibri" w:cs="Calibri" w:eastAsia="Calibri" w:hAnsi="Calibri"/>
          <w:b/>
          <w:bCs/>
          <w:sz w:val="22"/>
          <w:szCs w:val="22"/>
        </w:rPr>
        <w:t xml:space="preserve">1.3 Key Weaknesses</w:t>
      </w:r>
    </w:p>
    <w:p>
      <w:pPr>
        <w:pStyle w:val="ListParagraph"/>
        <w:numPr>
          <w:ilvl w:val="0"/>
          <w:numId w:val="1"/>
        </w:numPr>
        <w:spacing w:after="120"/>
      </w:pPr>
      <w:r>
        <w:rPr>
          <w:rFonts w:ascii="Calibri" w:cs="Calibri" w:eastAsia="Calibri" w:hAnsi="Calibri"/>
          <w:sz w:val="22"/>
          <w:szCs w:val="22"/>
        </w:rPr>
        <w:t xml:space="preserve">Sample size of 10 stocks over ~3 months. This is far too small to draw statistical conclusions. A minimum viable backtest would need 100+ events across multiple market regimes.</w:t>
      </w:r>
    </w:p>
    <w:p>
      <w:pPr>
        <w:pStyle w:val="ListParagraph"/>
        <w:numPr>
          <w:ilvl w:val="0"/>
          <w:numId w:val="1"/>
        </w:numPr>
        <w:spacing w:after="120"/>
      </w:pPr>
      <w:r>
        <w:rPr>
          <w:rFonts w:ascii="Calibri" w:cs="Calibri" w:eastAsia="Calibri" w:hAnsi="Calibri"/>
          <w:sz w:val="22"/>
          <w:szCs w:val="22"/>
        </w:rPr>
        <w:t xml:space="preserve">Survivorship bias: all 10 stocks were selected because they were volatile and had notable moves. The report does not examine volatile stocks that did NOT produce tradable dips (the false negative and false positive rates).</w:t>
      </w:r>
    </w:p>
    <w:p>
      <w:pPr>
        <w:pStyle w:val="ListParagraph"/>
        <w:numPr>
          <w:ilvl w:val="0"/>
          <w:numId w:val="1"/>
        </w:numPr>
        <w:spacing w:after="120"/>
      </w:pPr>
      <w:r>
        <w:rPr>
          <w:rFonts w:ascii="Calibri" w:cs="Calibri" w:eastAsia="Calibri" w:hAnsi="Calibri"/>
          <w:sz w:val="22"/>
          <w:szCs w:val="22"/>
        </w:rPr>
        <w:t xml:space="preserve">No base rates: the report never answers 'what percentage of RSI &lt; 30 events lead to 5%+ bounces within 3 days?' This is the critical question for any trading system.</w:t>
      </w:r>
    </w:p>
    <w:p>
      <w:pPr>
        <w:pStyle w:val="ListParagraph"/>
        <w:numPr>
          <w:ilvl w:val="0"/>
          <w:numId w:val="1"/>
        </w:numPr>
        <w:spacing w:after="120"/>
      </w:pPr>
      <w:r>
        <w:rPr>
          <w:rFonts w:ascii="Calibri" w:cs="Calibri" w:eastAsia="Calibri" w:hAnsi="Calibri"/>
          <w:sz w:val="22"/>
          <w:szCs w:val="22"/>
        </w:rPr>
        <w:t xml:space="preserve">Regime conflation: the report treats all market environments equally. Mean reversion works in range-bound/bull markets; it fails catastrophically in bear markets and crisis selling. The 2026 H1 sample period was broadly bullish, biasing all results.</w:t>
      </w:r>
    </w:p>
    <w:p>
      <w:pPr>
        <w:pStyle w:val="ListParagraph"/>
        <w:numPr>
          <w:ilvl w:val="0"/>
          <w:numId w:val="1"/>
        </w:numPr>
        <w:spacing w:after="120"/>
      </w:pPr>
      <w:r>
        <w:rPr>
          <w:rFonts w:ascii="Calibri" w:cs="Calibri" w:eastAsia="Calibri" w:hAnsi="Calibri"/>
          <w:sz w:val="22"/>
          <w:szCs w:val="22"/>
        </w:rPr>
        <w:t xml:space="preserve">The ML proposal is aspirational, not evidence-based. Feature importances cited are from external research, not the proposed system.</w:t>
      </w:r>
    </w:p>
    <w:p>
      <w:pPr>
        <w:pStyle w:val="ListParagraph"/>
        <w:numPr>
          <w:ilvl w:val="0"/>
          <w:numId w:val="1"/>
        </w:numPr>
        <w:spacing w:after="120"/>
      </w:pPr>
      <w:r>
        <w:rPr>
          <w:rFonts w:ascii="Calibri" w:cs="Calibri" w:eastAsia="Calibri" w:hAnsi="Calibri"/>
          <w:sz w:val="22"/>
          <w:szCs w:val="22"/>
        </w:rPr>
        <w:t xml:space="preserve">Outcome metrics (5% recovery in 1-3 days) are computed from the selected winners, not from all signals the system would have generated.</w:t>
      </w:r>
    </w:p>
    <w:p>
      <w:pPr>
        <w:pStyle w:val="Heading2"/>
        <w:spacing w:after="120" w:before="240"/>
      </w:pPr>
      <w:r>
        <w:rPr>
          <w:rFonts w:ascii="Calibri" w:cs="Calibri" w:eastAsia="Calibri" w:hAnsi="Calibri"/>
          <w:b/>
          <w:bCs/>
          <w:sz w:val="22"/>
          <w:szCs w:val="22"/>
        </w:rPr>
        <w:t xml:space="preserve">1.4 Facts vs. Hypotheses</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4000"/>
        <w:gridCol w:w="5640"/>
      </w:tblGrid>
      <w:tr>
        <w:tc>
          <w:tcPr>
            <w:tcW w:type="dxa" w:w="4000"/>
            <w:shd w:fill="E8E8E8" w:val="clear"/>
            <w:vAlign w:val="center"/>
          </w:tcPr>
          <w:p>
            <w:pPr>
              <w:spacing w:after="120"/>
            </w:pPr>
            <w:r>
              <w:rPr>
                <w:rFonts w:ascii="Calibri" w:cs="Calibri" w:eastAsia="Calibri" w:hAnsi="Calibri"/>
                <w:b/>
                <w:bCs/>
                <w:sz w:val="20"/>
                <w:szCs w:val="20"/>
              </w:rPr>
              <w:t xml:space="preserve">Category</w:t>
            </w:r>
          </w:p>
        </w:tc>
        <w:tc>
          <w:tcPr>
            <w:tcW w:type="dxa" w:w="5640"/>
            <w:shd w:fill="E8E8E8" w:val="clear"/>
            <w:vAlign w:val="center"/>
          </w:tcPr>
          <w:p>
            <w:pPr>
              <w:spacing w:after="120"/>
            </w:pPr>
            <w:r>
              <w:rPr>
                <w:rFonts w:ascii="Calibri" w:cs="Calibri" w:eastAsia="Calibri" w:hAnsi="Calibri"/>
                <w:sz w:val="20"/>
                <w:szCs w:val="20"/>
              </w:rPr>
              <w:t xml:space="preserve">Assessment</w:t>
            </w:r>
          </w:p>
        </w:tc>
      </w:tr>
      <w:tr>
        <w:tc>
          <w:tcPr>
            <w:tcW w:type="dxa" w:w="4000"/>
            <w:vAlign w:val="center"/>
          </w:tcPr>
          <w:p>
            <w:pPr>
              <w:spacing w:after="120"/>
            </w:pPr>
            <w:r>
              <w:rPr>
                <w:rFonts w:ascii="Calibri" w:cs="Calibri" w:eastAsia="Calibri" w:hAnsi="Calibri"/>
                <w:sz w:val="20"/>
                <w:szCs w:val="20"/>
              </w:rPr>
              <w:t xml:space="preserve">RSI &lt; 30 = oversold</w:t>
            </w:r>
          </w:p>
        </w:tc>
        <w:tc>
          <w:tcPr>
            <w:tcW w:type="dxa" w:w="5640"/>
            <w:vAlign w:val="center"/>
          </w:tcPr>
          <w:p>
            <w:pPr>
              <w:spacing w:after="120"/>
            </w:pPr>
            <w:r>
              <w:rPr>
                <w:rFonts w:ascii="Calibri" w:cs="Calibri" w:eastAsia="Calibri" w:hAnsi="Calibri"/>
                <w:sz w:val="20"/>
                <w:szCs w:val="20"/>
              </w:rPr>
              <w:t xml:space="preserve">FACT (definition). That it leads to tradable bounces is a HYPOTHESIS.</w:t>
            </w:r>
          </w:p>
        </w:tc>
      </w:tr>
      <w:tr>
        <w:tc>
          <w:tcPr>
            <w:tcW w:type="dxa" w:w="4000"/>
            <w:vAlign w:val="center"/>
          </w:tcPr>
          <w:p>
            <w:pPr>
              <w:spacing w:after="120"/>
            </w:pPr>
            <w:r>
              <w:rPr>
                <w:rFonts w:ascii="Calibri" w:cs="Calibri" w:eastAsia="Calibri" w:hAnsi="Calibri"/>
                <w:sz w:val="20"/>
                <w:szCs w:val="20"/>
              </w:rPr>
              <w:t xml:space="preserve">ATR measures volatility</w:t>
            </w:r>
          </w:p>
        </w:tc>
        <w:tc>
          <w:tcPr>
            <w:tcW w:type="dxa" w:w="5640"/>
            <w:vAlign w:val="center"/>
          </w:tcPr>
          <w:p>
            <w:pPr>
              <w:spacing w:after="120"/>
            </w:pPr>
            <w:r>
              <w:rPr>
                <w:rFonts w:ascii="Calibri" w:cs="Calibri" w:eastAsia="Calibri" w:hAnsi="Calibri"/>
                <w:sz w:val="20"/>
                <w:szCs w:val="20"/>
              </w:rPr>
              <w:t xml:space="preserve">FACT (definition). That &gt;80th pctile = opportunity is a HYPOTHESIS.</w:t>
            </w:r>
          </w:p>
        </w:tc>
      </w:tr>
      <w:tr>
        <w:tc>
          <w:tcPr>
            <w:tcW w:type="dxa" w:w="4000"/>
            <w:vAlign w:val="center"/>
          </w:tcPr>
          <w:p>
            <w:pPr>
              <w:spacing w:after="120"/>
            </w:pPr>
            <w:r>
              <w:rPr>
                <w:rFonts w:ascii="Calibri" w:cs="Calibri" w:eastAsia="Calibri" w:hAnsi="Calibri"/>
                <w:sz w:val="20"/>
                <w:szCs w:val="20"/>
              </w:rPr>
              <w:t xml:space="preserve">Bollinger squeeze precedes expansion</w:t>
            </w:r>
          </w:p>
        </w:tc>
        <w:tc>
          <w:tcPr>
            <w:tcW w:type="dxa" w:w="5640"/>
            <w:vAlign w:val="center"/>
          </w:tcPr>
          <w:p>
            <w:pPr>
              <w:spacing w:after="120"/>
            </w:pPr>
            <w:r>
              <w:rPr>
                <w:rFonts w:ascii="Calibri" w:cs="Calibri" w:eastAsia="Calibri" w:hAnsi="Calibri"/>
                <w:sz w:val="20"/>
                <w:szCs w:val="20"/>
              </w:rPr>
              <w:t xml:space="preserve">FACT (well-documented). Direction prediction is a HYPOTHESIS.</w:t>
            </w:r>
          </w:p>
        </w:tc>
      </w:tr>
      <w:tr>
        <w:tc>
          <w:tcPr>
            <w:tcW w:type="dxa" w:w="4000"/>
            <w:vAlign w:val="center"/>
          </w:tcPr>
          <w:p>
            <w:pPr>
              <w:spacing w:after="120"/>
            </w:pPr>
            <w:r>
              <w:rPr>
                <w:rFonts w:ascii="Calibri" w:cs="Calibri" w:eastAsia="Calibri" w:hAnsi="Calibri"/>
                <w:sz w:val="20"/>
                <w:szCs w:val="20"/>
              </w:rPr>
              <w:t xml:space="preserve">Gap + volume = interest</w:t>
            </w:r>
          </w:p>
        </w:tc>
        <w:tc>
          <w:tcPr>
            <w:tcW w:type="dxa" w:w="5640"/>
            <w:vAlign w:val="center"/>
          </w:tcPr>
          <w:p>
            <w:pPr>
              <w:spacing w:after="120"/>
            </w:pPr>
            <w:r>
              <w:rPr>
                <w:rFonts w:ascii="Calibri" w:cs="Calibri" w:eastAsia="Calibri" w:hAnsi="Calibri"/>
                <w:sz w:val="20"/>
                <w:szCs w:val="20"/>
              </w:rPr>
              <w:t xml:space="preserve">FACT. That it's tradable is CONTEXT-DEPENDENT.</w:t>
            </w:r>
          </w:p>
        </w:tc>
      </w:tr>
      <w:tr>
        <w:tc>
          <w:tcPr>
            <w:tcW w:type="dxa" w:w="4000"/>
            <w:vAlign w:val="center"/>
          </w:tcPr>
          <w:p>
            <w:pPr>
              <w:spacing w:after="120"/>
            </w:pPr>
            <w:r>
              <w:rPr>
                <w:rFonts w:ascii="Calibri" w:cs="Calibri" w:eastAsia="Calibri" w:hAnsi="Calibri"/>
                <w:sz w:val="20"/>
                <w:szCs w:val="20"/>
              </w:rPr>
              <w:t xml:space="preserve">Hybrid ML system works</w:t>
            </w:r>
          </w:p>
        </w:tc>
        <w:tc>
          <w:tcPr>
            <w:tcW w:type="dxa" w:w="5640"/>
            <w:vAlign w:val="center"/>
          </w:tcPr>
          <w:p>
            <w:pPr>
              <w:spacing w:after="120"/>
            </w:pPr>
            <w:r>
              <w:rPr>
                <w:rFonts w:ascii="Calibri" w:cs="Calibri" w:eastAsia="Calibri" w:hAnsi="Calibri"/>
                <w:sz w:val="20"/>
                <w:szCs w:val="20"/>
              </w:rPr>
              <w:t xml:space="preserve">PURE HYPOTHESIS — no evidence provided.</w:t>
            </w:r>
          </w:p>
        </w:tc>
      </w:tr>
      <w:tr>
        <w:tc>
          <w:tcPr>
            <w:tcW w:type="dxa" w:w="4000"/>
            <w:vAlign w:val="center"/>
          </w:tcPr>
          <w:p>
            <w:pPr>
              <w:spacing w:after="120"/>
            </w:pPr>
            <w:r>
              <w:rPr>
                <w:rFonts w:ascii="Calibri" w:cs="Calibri" w:eastAsia="Calibri" w:hAnsi="Calibri"/>
                <w:sz w:val="20"/>
                <w:szCs w:val="20"/>
              </w:rPr>
              <w:t xml:space="preserve">5% recovery in 1-3 days average</w:t>
            </w:r>
          </w:p>
        </w:tc>
        <w:tc>
          <w:tcPr>
            <w:tcW w:type="dxa" w:w="5640"/>
            <w:vAlign w:val="center"/>
          </w:tcPr>
          <w:p>
            <w:pPr>
              <w:spacing w:after="120"/>
            </w:pPr>
            <w:r>
              <w:rPr>
                <w:rFonts w:ascii="Calibri" w:cs="Calibri" w:eastAsia="Calibri" w:hAnsi="Calibri"/>
                <w:sz w:val="20"/>
                <w:szCs w:val="20"/>
              </w:rPr>
              <w:t xml:space="preserve">ANECDOTAL — computed from cherry-picked cases only.</w:t>
            </w:r>
          </w:p>
        </w:tc>
      </w:tr>
      <w:tr>
        <w:tc>
          <w:tcPr>
            <w:tcW w:type="dxa" w:w="4000"/>
            <w:vAlign w:val="center"/>
          </w:tcPr>
          <w:p>
            <w:pPr>
              <w:spacing w:after="120"/>
            </w:pPr>
            <w:r>
              <w:rPr>
                <w:rFonts w:ascii="Calibri" w:cs="Calibri" w:eastAsia="Calibri" w:hAnsi="Calibri"/>
                <w:sz w:val="20"/>
                <w:szCs w:val="20"/>
              </w:rPr>
              <w:t xml:space="preserve">Position sizing 1% NAV / tight stops</w:t>
            </w:r>
          </w:p>
        </w:tc>
        <w:tc>
          <w:tcPr>
            <w:tcW w:type="dxa" w:w="5640"/>
            <w:vAlign w:val="center"/>
          </w:tcPr>
          <w:p>
            <w:pPr>
              <w:spacing w:after="120"/>
            </w:pPr>
            <w:r>
              <w:rPr>
                <w:rFonts w:ascii="Calibri" w:cs="Calibri" w:eastAsia="Calibri" w:hAnsi="Calibri"/>
                <w:sz w:val="20"/>
                <w:szCs w:val="20"/>
              </w:rPr>
              <w:t xml:space="preserve">FACT (standard risk management, not novel).</w:t>
            </w:r>
          </w:p>
        </w:tc>
      </w:tr>
    </w:tbl>
    <w:p>
      <w:r>
        <w:br w:type="page"/>
      </w:r>
    </w:p>
    <w:p>
      <w:pPr>
        <w:pStyle w:val="Heading1"/>
        <w:spacing w:after="120" w:before="240"/>
      </w:pPr>
      <w:r>
        <w:rPr>
          <w:rFonts w:ascii="Calibri" w:cs="Calibri" w:eastAsia="Calibri" w:hAnsi="Calibri"/>
          <w:b/>
          <w:bCs/>
          <w:sz w:val="22"/>
          <w:szCs w:val="22"/>
        </w:rPr>
        <w:t xml:space="preserve">Phase 2 — Comparison Against STOCKJAWN</w:t>
      </w:r>
    </w:p>
    <w:p>
      <w:pPr>
        <w:pStyle w:val="Heading2"/>
        <w:spacing w:after="120" w:before="240"/>
      </w:pPr>
      <w:r>
        <w:rPr>
          <w:rFonts w:ascii="Calibri" w:cs="Calibri" w:eastAsia="Calibri" w:hAnsi="Calibri"/>
          <w:b/>
          <w:bCs/>
          <w:sz w:val="22"/>
          <w:szCs w:val="22"/>
        </w:rPr>
        <w:t xml:space="preserve">2.1 What Already Exists</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2500"/>
        <w:gridCol w:w="3500"/>
        <w:gridCol w:w="3640"/>
      </w:tblGrid>
      <w:tr>
        <w:tc>
          <w:tcPr>
            <w:tcW w:type="dxa" w:w="2500"/>
            <w:shd w:fill="E8E8E8" w:val="clear"/>
            <w:vAlign w:val="center"/>
          </w:tcPr>
          <w:p>
            <w:pPr>
              <w:spacing w:after="120"/>
            </w:pPr>
            <w:r>
              <w:rPr>
                <w:rFonts w:ascii="Calibri" w:cs="Calibri" w:eastAsia="Calibri" w:hAnsi="Calibri"/>
                <w:b/>
                <w:bCs/>
                <w:sz w:val="20"/>
                <w:szCs w:val="20"/>
              </w:rPr>
              <w:t xml:space="preserve">Report Proposal</w:t>
            </w:r>
          </w:p>
        </w:tc>
        <w:tc>
          <w:tcPr>
            <w:tcW w:type="dxa" w:w="3500"/>
            <w:shd w:fill="E8E8E8" w:val="clear"/>
            <w:vAlign w:val="center"/>
          </w:tcPr>
          <w:p>
            <w:pPr>
              <w:spacing w:after="120"/>
            </w:pPr>
            <w:r>
              <w:rPr>
                <w:rFonts w:ascii="Calibri" w:cs="Calibri" w:eastAsia="Calibri" w:hAnsi="Calibri"/>
                <w:sz w:val="20"/>
                <w:szCs w:val="20"/>
              </w:rPr>
              <w:t xml:space="preserve">STOCKJAWN Status</w:t>
            </w:r>
          </w:p>
        </w:tc>
        <w:tc>
          <w:tcPr>
            <w:tcW w:type="dxa" w:w="3640"/>
            <w:shd w:fill="E8E8E8" w:val="clear"/>
            <w:vAlign w:val="center"/>
          </w:tcPr>
          <w:p>
            <w:pPr>
              <w:spacing w:after="120"/>
            </w:pPr>
            <w:r>
              <w:rPr>
                <w:rFonts w:ascii="Calibri" w:cs="Calibri" w:eastAsia="Calibri" w:hAnsi="Calibri"/>
                <w:sz w:val="20"/>
                <w:szCs w:val="20"/>
              </w:rPr>
              <w:t xml:space="preserve">Assessment</w:t>
            </w:r>
          </w:p>
        </w:tc>
      </w:tr>
      <w:tr>
        <w:tc>
          <w:tcPr>
            <w:tcW w:type="dxa" w:w="2500"/>
            <w:vAlign w:val="center"/>
          </w:tcPr>
          <w:p>
            <w:pPr>
              <w:spacing w:after="120"/>
            </w:pPr>
            <w:r>
              <w:rPr>
                <w:rFonts w:ascii="Calibri" w:cs="Calibri" w:eastAsia="Calibri" w:hAnsi="Calibri"/>
                <w:sz w:val="20"/>
                <w:szCs w:val="20"/>
              </w:rPr>
              <w:t xml:space="preserve">RSI 14 scoring</w:t>
            </w:r>
          </w:p>
        </w:tc>
        <w:tc>
          <w:tcPr>
            <w:tcW w:type="dxa" w:w="3500"/>
            <w:vAlign w:val="center"/>
          </w:tcPr>
          <w:p>
            <w:pPr>
              <w:spacing w:after="120"/>
            </w:pPr>
            <w:r>
              <w:rPr>
                <w:rFonts w:ascii="Calibri" w:cs="Calibri" w:eastAsia="Calibri" w:hAnsi="Calibri"/>
                <w:sz w:val="20"/>
                <w:szCs w:val="20"/>
              </w:rPr>
              <w:t xml:space="preserve">EXISTS — MomentumEvaluator scores RSI at 30/45/55/70 thresholds</w:t>
            </w:r>
          </w:p>
        </w:tc>
        <w:tc>
          <w:tcPr>
            <w:tcW w:type="dxa" w:w="3640"/>
            <w:vAlign w:val="center"/>
          </w:tcPr>
          <w:p>
            <w:pPr>
              <w:spacing w:after="120"/>
            </w:pPr>
            <w:r>
              <w:rPr>
                <w:rFonts w:ascii="Calibri" w:cs="Calibri" w:eastAsia="Calibri" w:hAnsi="Calibri"/>
                <w:sz w:val="20"/>
                <w:szCs w:val="20"/>
              </w:rPr>
              <w:t xml:space="preserve">DUPLICATE. Already scored directionally.</w:t>
            </w:r>
          </w:p>
        </w:tc>
      </w:tr>
      <w:tr>
        <w:tc>
          <w:tcPr>
            <w:tcW w:type="dxa" w:w="2500"/>
            <w:vAlign w:val="center"/>
          </w:tcPr>
          <w:p>
            <w:pPr>
              <w:spacing w:after="120"/>
            </w:pPr>
            <w:r>
              <w:rPr>
                <w:rFonts w:ascii="Calibri" w:cs="Calibri" w:eastAsia="Calibri" w:hAnsi="Calibri"/>
                <w:sz w:val="20"/>
                <w:szCs w:val="20"/>
              </w:rPr>
              <w:t xml:space="preserve">ATR 14 calculation</w:t>
            </w:r>
          </w:p>
        </w:tc>
        <w:tc>
          <w:tcPr>
            <w:tcW w:type="dxa" w:w="3500"/>
            <w:vAlign w:val="center"/>
          </w:tcPr>
          <w:p>
            <w:pPr>
              <w:spacing w:after="120"/>
            </w:pPr>
            <w:r>
              <w:rPr>
                <w:rFonts w:ascii="Calibri" w:cs="Calibri" w:eastAsia="Calibri" w:hAnsi="Calibri"/>
                <w:sz w:val="20"/>
                <w:szCs w:val="20"/>
              </w:rPr>
              <w:t xml:space="preserve">EXISTS — IndicatorEngine computes Atr14; used for price targets</w:t>
            </w:r>
          </w:p>
        </w:tc>
        <w:tc>
          <w:tcPr>
            <w:tcW w:type="dxa" w:w="3640"/>
            <w:vAlign w:val="center"/>
          </w:tcPr>
          <w:p>
            <w:pPr>
              <w:spacing w:after="120"/>
            </w:pPr>
            <w:r>
              <w:rPr>
                <w:rFonts w:ascii="Calibri" w:cs="Calibri" w:eastAsia="Calibri" w:hAnsi="Calibri"/>
                <w:sz w:val="20"/>
                <w:szCs w:val="20"/>
              </w:rPr>
              <w:t xml:space="preserve">PARTIAL OVERLAP. Computed but not percentile-ranked.</w:t>
            </w:r>
          </w:p>
        </w:tc>
      </w:tr>
      <w:tr>
        <w:tc>
          <w:tcPr>
            <w:tcW w:type="dxa" w:w="2500"/>
            <w:vAlign w:val="center"/>
          </w:tcPr>
          <w:p>
            <w:pPr>
              <w:spacing w:after="120"/>
            </w:pPr>
            <w:r>
              <w:rPr>
                <w:rFonts w:ascii="Calibri" w:cs="Calibri" w:eastAsia="Calibri" w:hAnsi="Calibri"/>
                <w:sz w:val="20"/>
                <w:szCs w:val="20"/>
              </w:rPr>
              <w:t xml:space="preserve">Bollinger Bands (20,2)</w:t>
            </w:r>
          </w:p>
        </w:tc>
        <w:tc>
          <w:tcPr>
            <w:tcW w:type="dxa" w:w="3500"/>
            <w:vAlign w:val="center"/>
          </w:tcPr>
          <w:p>
            <w:pPr>
              <w:spacing w:after="120"/>
            </w:pPr>
            <w:r>
              <w:rPr>
                <w:rFonts w:ascii="Calibri" w:cs="Calibri" w:eastAsia="Calibri" w:hAnsi="Calibri"/>
                <w:sz w:val="20"/>
                <w:szCs w:val="20"/>
              </w:rPr>
              <w:t xml:space="preserve">EXISTS — Full suite: upper/lower/middle/bandwidth/breakout</w:t>
            </w:r>
          </w:p>
        </w:tc>
        <w:tc>
          <w:tcPr>
            <w:tcW w:type="dxa" w:w="3640"/>
            <w:vAlign w:val="center"/>
          </w:tcPr>
          <w:p>
            <w:pPr>
              <w:spacing w:after="120"/>
            </w:pPr>
            <w:r>
              <w:rPr>
                <w:rFonts w:ascii="Calibri" w:cs="Calibri" w:eastAsia="Calibri" w:hAnsi="Calibri"/>
                <w:sz w:val="20"/>
                <w:szCs w:val="20"/>
              </w:rPr>
              <w:t xml:space="preserve">DUPLICATE for basic signals. Bandwidth squeeze already detected at &lt; 3%.</w:t>
            </w:r>
          </w:p>
        </w:tc>
      </w:tr>
      <w:tr>
        <w:tc>
          <w:tcPr>
            <w:tcW w:type="dxa" w:w="2500"/>
            <w:vAlign w:val="center"/>
          </w:tcPr>
          <w:p>
            <w:pPr>
              <w:spacing w:after="120"/>
            </w:pPr>
            <w:r>
              <w:rPr>
                <w:rFonts w:ascii="Calibri" w:cs="Calibri" w:eastAsia="Calibri" w:hAnsi="Calibri"/>
                <w:sz w:val="20"/>
                <w:szCs w:val="20"/>
              </w:rPr>
              <w:t xml:space="preserve">Volume ratio scoring</w:t>
            </w:r>
          </w:p>
        </w:tc>
        <w:tc>
          <w:tcPr>
            <w:tcW w:type="dxa" w:w="3500"/>
            <w:vAlign w:val="center"/>
          </w:tcPr>
          <w:p>
            <w:pPr>
              <w:spacing w:after="120"/>
            </w:pPr>
            <w:r>
              <w:rPr>
                <w:rFonts w:ascii="Calibri" w:cs="Calibri" w:eastAsia="Calibri" w:hAnsi="Calibri"/>
                <w:sz w:val="20"/>
                <w:szCs w:val="20"/>
              </w:rPr>
              <w:t xml:space="preserve">EXISTS — VolumeEvaluator scores at 0.5/0.7/1.3/2.0 thresholds</w:t>
            </w:r>
          </w:p>
        </w:tc>
        <w:tc>
          <w:tcPr>
            <w:tcW w:type="dxa" w:w="3640"/>
            <w:vAlign w:val="center"/>
          </w:tcPr>
          <w:p>
            <w:pPr>
              <w:spacing w:after="120"/>
            </w:pPr>
            <w:r>
              <w:rPr>
                <w:rFonts w:ascii="Calibri" w:cs="Calibri" w:eastAsia="Calibri" w:hAnsi="Calibri"/>
                <w:sz w:val="20"/>
                <w:szCs w:val="20"/>
              </w:rPr>
              <w:t xml:space="preserve">DUPLICATE.</w:t>
            </w:r>
          </w:p>
        </w:tc>
      </w:tr>
      <w:tr>
        <w:tc>
          <w:tcPr>
            <w:tcW w:type="dxa" w:w="2500"/>
            <w:vAlign w:val="center"/>
          </w:tcPr>
          <w:p>
            <w:pPr>
              <w:spacing w:after="120"/>
            </w:pPr>
            <w:r>
              <w:rPr>
                <w:rFonts w:ascii="Calibri" w:cs="Calibri" w:eastAsia="Calibri" w:hAnsi="Calibri"/>
                <w:sz w:val="20"/>
                <w:szCs w:val="20"/>
              </w:rPr>
              <w:t xml:space="preserve">Mean reversion setup</w:t>
            </w:r>
          </w:p>
        </w:tc>
        <w:tc>
          <w:tcPr>
            <w:tcW w:type="dxa" w:w="3500"/>
            <w:vAlign w:val="center"/>
          </w:tcPr>
          <w:p>
            <w:pPr>
              <w:spacing w:after="120"/>
            </w:pPr>
            <w:r>
              <w:rPr>
                <w:rFonts w:ascii="Calibri" w:cs="Calibri" w:eastAsia="Calibri" w:hAnsi="Calibri"/>
                <w:sz w:val="20"/>
                <w:szCs w:val="20"/>
              </w:rPr>
              <w:t xml:space="preserve">EXISTS — mean_reversion is a TradeSetupEngine setup type</w:t>
            </w:r>
          </w:p>
        </w:tc>
        <w:tc>
          <w:tcPr>
            <w:tcW w:type="dxa" w:w="3640"/>
            <w:vAlign w:val="center"/>
          </w:tcPr>
          <w:p>
            <w:pPr>
              <w:spacing w:after="120"/>
            </w:pPr>
            <w:r>
              <w:rPr>
                <w:rFonts w:ascii="Calibri" w:cs="Calibri" w:eastAsia="Calibri" w:hAnsi="Calibri"/>
                <w:sz w:val="20"/>
                <w:szCs w:val="20"/>
              </w:rPr>
              <w:t xml:space="preserve">PARTIAL OVERLAP. Setup exists but lacks the specific dip-detection logic.</w:t>
            </w:r>
          </w:p>
        </w:tc>
      </w:tr>
      <w:tr>
        <w:tc>
          <w:tcPr>
            <w:tcW w:type="dxa" w:w="2500"/>
            <w:vAlign w:val="center"/>
          </w:tcPr>
          <w:p>
            <w:pPr>
              <w:spacing w:after="120"/>
            </w:pPr>
            <w:r>
              <w:rPr>
                <w:rFonts w:ascii="Calibri" w:cs="Calibri" w:eastAsia="Calibri" w:hAnsi="Calibri"/>
                <w:sz w:val="20"/>
                <w:szCs w:val="20"/>
              </w:rPr>
              <w:t xml:space="preserve">Volatility squeeze setup</w:t>
            </w:r>
          </w:p>
        </w:tc>
        <w:tc>
          <w:tcPr>
            <w:tcW w:type="dxa" w:w="3500"/>
            <w:vAlign w:val="center"/>
          </w:tcPr>
          <w:p>
            <w:pPr>
              <w:spacing w:after="120"/>
            </w:pPr>
            <w:r>
              <w:rPr>
                <w:rFonts w:ascii="Calibri" w:cs="Calibri" w:eastAsia="Calibri" w:hAnsi="Calibri"/>
                <w:sz w:val="20"/>
                <w:szCs w:val="20"/>
              </w:rPr>
              <w:t xml:space="preserve">EXISTS — volatility_squeeze is a TradeSetupEngine setup type</w:t>
            </w:r>
          </w:p>
        </w:tc>
        <w:tc>
          <w:tcPr>
            <w:tcW w:type="dxa" w:w="3640"/>
            <w:vAlign w:val="center"/>
          </w:tcPr>
          <w:p>
            <w:pPr>
              <w:spacing w:after="120"/>
            </w:pPr>
            <w:r>
              <w:rPr>
                <w:rFonts w:ascii="Calibri" w:cs="Calibri" w:eastAsia="Calibri" w:hAnsi="Calibri"/>
                <w:sz w:val="20"/>
                <w:szCs w:val="20"/>
              </w:rPr>
              <w:t xml:space="preserve">DUPLICATE.</w:t>
            </w:r>
          </w:p>
        </w:tc>
      </w:tr>
      <w:tr>
        <w:tc>
          <w:tcPr>
            <w:tcW w:type="dxa" w:w="2500"/>
            <w:vAlign w:val="center"/>
          </w:tcPr>
          <w:p>
            <w:pPr>
              <w:spacing w:after="120"/>
            </w:pPr>
            <w:r>
              <w:rPr>
                <w:rFonts w:ascii="Calibri" w:cs="Calibri" w:eastAsia="Calibri" w:hAnsi="Calibri"/>
                <w:sz w:val="20"/>
                <w:szCs w:val="20"/>
              </w:rPr>
              <w:t xml:space="preserve">Market regime detection</w:t>
            </w:r>
          </w:p>
        </w:tc>
        <w:tc>
          <w:tcPr>
            <w:tcW w:type="dxa" w:w="3500"/>
            <w:vAlign w:val="center"/>
          </w:tcPr>
          <w:p>
            <w:pPr>
              <w:spacing w:after="120"/>
            </w:pPr>
            <w:r>
              <w:rPr>
                <w:rFonts w:ascii="Calibri" w:cs="Calibri" w:eastAsia="Calibri" w:hAnsi="Calibri"/>
                <w:sz w:val="20"/>
                <w:szCs w:val="20"/>
              </w:rPr>
              <w:t xml:space="preserve">EXISTS — 14 regime types including MeanReversionMarket, HighVolatility</w:t>
            </w:r>
          </w:p>
        </w:tc>
        <w:tc>
          <w:tcPr>
            <w:tcW w:type="dxa" w:w="3640"/>
            <w:vAlign w:val="center"/>
          </w:tcPr>
          <w:p>
            <w:pPr>
              <w:spacing w:after="120"/>
            </w:pPr>
            <w:r>
              <w:rPr>
                <w:rFonts w:ascii="Calibri" w:cs="Calibri" w:eastAsia="Calibri" w:hAnsi="Calibri"/>
                <w:sz w:val="20"/>
                <w:szCs w:val="20"/>
              </w:rPr>
              <w:t xml:space="preserve">MARKET-LEVEL only, not per-stock. Report proposes per-stock regime.</w:t>
            </w:r>
          </w:p>
        </w:tc>
      </w:tr>
      <w:tr>
        <w:tc>
          <w:tcPr>
            <w:tcW w:type="dxa" w:w="2500"/>
            <w:vAlign w:val="center"/>
          </w:tcPr>
          <w:p>
            <w:pPr>
              <w:spacing w:after="120"/>
            </w:pPr>
            <w:r>
              <w:rPr>
                <w:rFonts w:ascii="Calibri" w:cs="Calibri" w:eastAsia="Calibri" w:hAnsi="Calibri"/>
                <w:sz w:val="20"/>
                <w:szCs w:val="20"/>
              </w:rPr>
              <w:t xml:space="preserve">Risk management rules</w:t>
            </w:r>
          </w:p>
        </w:tc>
        <w:tc>
          <w:tcPr>
            <w:tcW w:type="dxa" w:w="3500"/>
            <w:vAlign w:val="center"/>
          </w:tcPr>
          <w:p>
            <w:pPr>
              <w:spacing w:after="120"/>
            </w:pPr>
            <w:r>
              <w:rPr>
                <w:rFonts w:ascii="Calibri" w:cs="Calibri" w:eastAsia="Calibri" w:hAnsi="Calibri"/>
                <w:sz w:val="20"/>
                <w:szCs w:val="20"/>
              </w:rPr>
              <w:t xml:space="preserve">EXISTS — VolatilityFilter, position sizing, stop/target from ATR</w:t>
            </w:r>
          </w:p>
        </w:tc>
        <w:tc>
          <w:tcPr>
            <w:tcW w:type="dxa" w:w="3640"/>
            <w:vAlign w:val="center"/>
          </w:tcPr>
          <w:p>
            <w:pPr>
              <w:spacing w:after="120"/>
            </w:pPr>
            <w:r>
              <w:rPr>
                <w:rFonts w:ascii="Calibri" w:cs="Calibri" w:eastAsia="Calibri" w:hAnsi="Calibri"/>
                <w:sz w:val="20"/>
                <w:szCs w:val="20"/>
              </w:rPr>
              <w:t xml:space="preserve">DUPLICATE.</w:t>
            </w:r>
          </w:p>
        </w:tc>
      </w:tr>
      <w:tr>
        <w:tc>
          <w:tcPr>
            <w:tcW w:type="dxa" w:w="2500"/>
            <w:vAlign w:val="center"/>
          </w:tcPr>
          <w:p>
            <w:pPr>
              <w:spacing w:after="120"/>
            </w:pPr>
            <w:r>
              <w:rPr>
                <w:rFonts w:ascii="Calibri" w:cs="Calibri" w:eastAsia="Calibri" w:hAnsi="Calibri"/>
                <w:sz w:val="20"/>
                <w:szCs w:val="20"/>
              </w:rPr>
              <w:t xml:space="preserve">Catalyst scoring</w:t>
            </w:r>
          </w:p>
        </w:tc>
        <w:tc>
          <w:tcPr>
            <w:tcW w:type="dxa" w:w="3500"/>
            <w:vAlign w:val="center"/>
          </w:tcPr>
          <w:p>
            <w:pPr>
              <w:spacing w:after="120"/>
            </w:pPr>
            <w:r>
              <w:rPr>
                <w:rFonts w:ascii="Calibri" w:cs="Calibri" w:eastAsia="Calibri" w:hAnsi="Calibri"/>
                <w:sz w:val="20"/>
                <w:szCs w:val="20"/>
              </w:rPr>
              <w:t xml:space="preserve">EXISTS — CatalystEvaluator with 25-point scale, sentiment, source diversity</w:t>
            </w:r>
          </w:p>
        </w:tc>
        <w:tc>
          <w:tcPr>
            <w:tcW w:type="dxa" w:w="3640"/>
            <w:vAlign w:val="center"/>
          </w:tcPr>
          <w:p>
            <w:pPr>
              <w:spacing w:after="120"/>
            </w:pPr>
            <w:r>
              <w:rPr>
                <w:rFonts w:ascii="Calibri" w:cs="Calibri" w:eastAsia="Calibri" w:hAnsi="Calibri"/>
                <w:sz w:val="20"/>
                <w:szCs w:val="20"/>
              </w:rPr>
              <w:t xml:space="preserve">DUPLICATE. More sophisticated than report proposes.</w:t>
            </w:r>
          </w:p>
        </w:tc>
      </w:tr>
    </w:tbl>
    <w:p>
      <w:pPr>
        <w:pStyle w:val="Heading2"/>
        <w:spacing w:after="120" w:before="240"/>
      </w:pPr>
      <w:r>
        <w:rPr>
          <w:rFonts w:ascii="Calibri" w:cs="Calibri" w:eastAsia="Calibri" w:hAnsi="Calibri"/>
          <w:b/>
          <w:bCs/>
          <w:sz w:val="22"/>
          <w:szCs w:val="22"/>
        </w:rPr>
        <w:t xml:space="preserve">2.2 What Would Duplicate</w:t>
      </w:r>
    </w:p>
    <w:p>
      <w:pPr>
        <w:spacing w:after="120"/>
      </w:pPr>
      <w:r>
        <w:rPr>
          <w:rFonts w:ascii="Calibri" w:cs="Calibri" w:eastAsia="Calibri" w:hAnsi="Calibri"/>
          <w:sz w:val="22"/>
          <w:szCs w:val="22"/>
        </w:rPr>
        <w:t xml:space="preserve">Roughly 60% of the report's proposals already exist in STOCKJAWN in some form. The basic technical indicators (RSI, ATR, Bollinger, volume ratio) are all computed. The scoring engine already uses these. A standalone 'dip detection system' as proposed would duplicate the Scoring Engine, Prediction Engine, and TradeSetupEngine.</w:t>
      </w:r>
    </w:p>
    <w:p>
      <w:pPr>
        <w:pStyle w:val="Heading2"/>
        <w:spacing w:after="120" w:before="240"/>
      </w:pPr>
      <w:r>
        <w:rPr>
          <w:rFonts w:ascii="Calibri" w:cs="Calibri" w:eastAsia="Calibri" w:hAnsi="Calibri"/>
          <w:b/>
          <w:bCs/>
          <w:sz w:val="22"/>
          <w:szCs w:val="22"/>
        </w:rPr>
        <w:t xml:space="preserve">2.3 What Genuinely Adds New Capability</w:t>
      </w:r>
    </w:p>
    <w:p>
      <w:pPr>
        <w:pStyle w:val="ListParagraph"/>
        <w:numPr>
          <w:ilvl w:val="0"/>
          <w:numId w:val="1"/>
        </w:numPr>
        <w:spacing w:after="120"/>
      </w:pPr>
      <w:r>
        <w:rPr>
          <w:rFonts w:ascii="Calibri" w:cs="Calibri" w:eastAsia="Calibri" w:hAnsi="Calibri"/>
          <w:sz w:val="22"/>
          <w:szCs w:val="22"/>
        </w:rPr>
        <w:t xml:space="preserve">ATR percentile ranking: ATR is computed but never ranked against its own history. Knowing that current ATR is in the 90th percentile of the stock's own 6-month ATR history is genuinely different from knowing the raw ATR value.</w:t>
      </w:r>
    </w:p>
    <w:p>
      <w:pPr>
        <w:pStyle w:val="ListParagraph"/>
        <w:numPr>
          <w:ilvl w:val="0"/>
          <w:numId w:val="1"/>
        </w:numPr>
        <w:spacing w:after="120"/>
      </w:pPr>
      <w:r>
        <w:rPr>
          <w:rFonts w:ascii="Calibri" w:cs="Calibri" w:eastAsia="Calibri" w:hAnsi="Calibri"/>
          <w:sz w:val="22"/>
          <w:szCs w:val="22"/>
        </w:rPr>
        <w:t xml:space="preserve">Gap detection and classification: STOCKJAWN has no gap detection at all. No open-vs-previous-close gap calculation exists anywhere in the codebase. This is a real blind spot.</w:t>
      </w:r>
    </w:p>
    <w:p>
      <w:pPr>
        <w:pStyle w:val="ListParagraph"/>
        <w:numPr>
          <w:ilvl w:val="0"/>
          <w:numId w:val="1"/>
        </w:numPr>
        <w:spacing w:after="120"/>
      </w:pPr>
      <w:r>
        <w:rPr>
          <w:rFonts w:ascii="Calibri" w:cs="Calibri" w:eastAsia="Calibri" w:hAnsi="Calibri"/>
          <w:sz w:val="22"/>
          <w:szCs w:val="22"/>
        </w:rPr>
        <w:t xml:space="preserve">Per-stock volatility regime: regime detection is market-wide (SPY/QQQ) only. Individual stocks have no volatility regime classification. A stock can be in a squeeze while the market is trending.</w:t>
      </w:r>
    </w:p>
    <w:p>
      <w:pPr>
        <w:pStyle w:val="ListParagraph"/>
        <w:numPr>
          <w:ilvl w:val="0"/>
          <w:numId w:val="1"/>
        </w:numPr>
        <w:spacing w:after="120"/>
      </w:pPr>
      <w:r>
        <w:rPr>
          <w:rFonts w:ascii="Calibri" w:cs="Calibri" w:eastAsia="Calibri" w:hAnsi="Calibri"/>
          <w:sz w:val="22"/>
          <w:szCs w:val="22"/>
        </w:rPr>
        <w:t xml:space="preserve">Volatility expansion/contraction tracking: bandwidth is checked as a threshold (&lt; 3%) but not tracked as a time series. Whether bandwidth is expanding or contracting is not measured.</w:t>
      </w:r>
    </w:p>
    <w:p>
      <w:pPr>
        <w:pStyle w:val="ListParagraph"/>
        <w:numPr>
          <w:ilvl w:val="0"/>
          <w:numId w:val="1"/>
        </w:numPr>
        <w:spacing w:after="120"/>
      </w:pPr>
      <w:r>
        <w:rPr>
          <w:rFonts w:ascii="Calibri" w:cs="Calibri" w:eastAsia="Calibri" w:hAnsi="Calibri"/>
          <w:sz w:val="22"/>
          <w:szCs w:val="22"/>
        </w:rPr>
        <w:t xml:space="preserve">Recovery speed / bounce quality metrics: outcome evaluation tracks max favorable/adverse excursion but does not measure time-to-recovery or bounce quality (how quickly a dip reverses).</w:t>
      </w:r>
    </w:p>
    <w:p>
      <w:pPr>
        <w:pStyle w:val="ListParagraph"/>
        <w:numPr>
          <w:ilvl w:val="0"/>
          <w:numId w:val="1"/>
        </w:numPr>
        <w:spacing w:after="120"/>
      </w:pPr>
      <w:r>
        <w:rPr>
          <w:rFonts w:ascii="Calibri" w:cs="Calibri" w:eastAsia="Calibri" w:hAnsi="Calibri"/>
          <w:sz w:val="22"/>
          <w:szCs w:val="22"/>
        </w:rPr>
        <w:t xml:space="preserve">Multi-timeframe volatility context: the system computes 14-period ATR but does not compare short-term vs long-term volatility to detect expansion or contraction regimes.</w:t>
      </w:r>
    </w:p>
    <w:p>
      <w:pPr>
        <w:pStyle w:val="Heading2"/>
        <w:spacing w:after="120" w:before="240"/>
      </w:pPr>
      <w:r>
        <w:rPr>
          <w:rFonts w:ascii="Calibri" w:cs="Calibri" w:eastAsia="Calibri" w:hAnsi="Calibri"/>
          <w:b/>
          <w:bCs/>
          <w:sz w:val="22"/>
          <w:szCs w:val="22"/>
        </w:rPr>
        <w:t xml:space="preserve">2.4 What Conflicts</w:t>
      </w:r>
    </w:p>
    <w:p>
      <w:pPr>
        <w:spacing w:after="120"/>
      </w:pPr>
      <w:r>
        <w:rPr>
          <w:rFonts w:ascii="Calibri" w:cs="Calibri" w:eastAsia="Calibri" w:hAnsi="Calibri"/>
          <w:sz w:val="22"/>
          <w:szCs w:val="22"/>
        </w:rPr>
        <w:t xml:space="preserve">The report proposes an independent ML classifier generating a 'DipSignalScore' and direct trade signals. This conflicts with STOCKJAWN's architecture in three ways: (1) STOCKJAWN's scoring is deterministic — introducing an ML black box violates the design philosophy, (2) the report proposes the system generate trade signals directly, but STOCKJAWN deliberately separates scoring from prediction from paper trading, and (3) the report's 'buy when RSI &lt; 30' approach ignores that STOCKJAWN already scores RSI &lt; 30 as +3 bullish in MomentumEvaluator — adding a second system that reacts to the same signal would double-count.</w:t>
      </w:r>
    </w:p>
    <w:p>
      <w:r>
        <w:br w:type="page"/>
      </w:r>
    </w:p>
    <w:p>
      <w:pPr>
        <w:pStyle w:val="Heading1"/>
        <w:spacing w:after="120" w:before="240"/>
      </w:pPr>
      <w:r>
        <w:rPr>
          <w:rFonts w:ascii="Calibri" w:cs="Calibri" w:eastAsia="Calibri" w:hAnsi="Calibri"/>
          <w:b/>
          <w:bCs/>
          <w:sz w:val="22"/>
          <w:szCs w:val="22"/>
        </w:rPr>
        <w:t xml:space="preserve">Phase 3 — Missing Signals</w:t>
      </w:r>
    </w:p>
    <w:p>
      <w:pPr>
        <w:spacing w:after="120"/>
      </w:pPr>
      <w:r>
        <w:rPr>
          <w:rFonts w:ascii="Calibri" w:cs="Calibri" w:eastAsia="Calibri" w:hAnsi="Calibri"/>
          <w:sz w:val="22"/>
          <w:szCs w:val="22"/>
        </w:rPr>
        <w:t xml:space="preserve">Based on comparing the report's proposals against STOCKJAWN's actual IndicatorEngine and ScoringEngine implementation, the following signals are genuinely missing. Each is evaluated for whether it would improve prediction quality.</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500"/>
        <w:gridCol w:w="2500"/>
        <w:gridCol w:w="2640"/>
      </w:tblGrid>
      <w:tr>
        <w:tc>
          <w:tcPr>
            <w:tcW w:type="dxa" w:w="2000"/>
            <w:shd w:fill="E8E8E8" w:val="clear"/>
            <w:vAlign w:val="center"/>
          </w:tcPr>
          <w:p>
            <w:pPr>
              <w:spacing w:after="120"/>
            </w:pPr>
            <w:r>
              <w:rPr>
                <w:rFonts w:ascii="Calibri" w:cs="Calibri" w:eastAsia="Calibri" w:hAnsi="Calibri"/>
                <w:b/>
                <w:bCs/>
                <w:sz w:val="20"/>
                <w:szCs w:val="20"/>
              </w:rPr>
              <w:t xml:space="preserve">Signal</w:t>
            </w:r>
          </w:p>
        </w:tc>
        <w:tc>
          <w:tcPr>
            <w:tcW w:type="dxa" w:w="2500"/>
            <w:shd w:fill="E8E8E8" w:val="clear"/>
            <w:vAlign w:val="center"/>
          </w:tcPr>
          <w:p>
            <w:pPr>
              <w:spacing w:after="120"/>
            </w:pPr>
            <w:r>
              <w:rPr>
                <w:rFonts w:ascii="Calibri" w:cs="Calibri" w:eastAsia="Calibri" w:hAnsi="Calibri"/>
                <w:sz w:val="20"/>
                <w:szCs w:val="20"/>
              </w:rPr>
              <w:t xml:space="preserve">Status</w:t>
            </w:r>
          </w:p>
        </w:tc>
        <w:tc>
          <w:tcPr>
            <w:tcW w:type="dxa" w:w="2500"/>
            <w:shd w:fill="E8E8E8" w:val="clear"/>
            <w:vAlign w:val="center"/>
          </w:tcPr>
          <w:p>
            <w:pPr>
              <w:spacing w:after="120"/>
            </w:pPr>
            <w:r>
              <w:rPr>
                <w:rFonts w:ascii="Calibri" w:cs="Calibri" w:eastAsia="Calibri" w:hAnsi="Calibri"/>
                <w:sz w:val="20"/>
                <w:szCs w:val="20"/>
              </w:rPr>
              <w:t xml:space="preserve">Would Improve Predictions?</w:t>
            </w:r>
          </w:p>
        </w:tc>
        <w:tc>
          <w:tcPr>
            <w:tcW w:type="dxa" w:w="2640"/>
            <w:shd w:fill="E8E8E8" w:val="clear"/>
            <w:vAlign w:val="center"/>
          </w:tcPr>
          <w:p>
            <w:pPr>
              <w:spacing w:after="120"/>
            </w:pPr>
            <w:r>
              <w:rPr>
                <w:rFonts w:ascii="Calibri" w:cs="Calibri" w:eastAsia="Calibri" w:hAnsi="Calibri"/>
                <w:sz w:val="20"/>
                <w:szCs w:val="20"/>
              </w:rPr>
              <w:t xml:space="preserve">Rationale</w:t>
            </w:r>
          </w:p>
        </w:tc>
      </w:tr>
      <w:tr>
        <w:tc>
          <w:tcPr>
            <w:tcW w:type="dxa" w:w="2000"/>
            <w:vAlign w:val="center"/>
          </w:tcPr>
          <w:p>
            <w:pPr>
              <w:spacing w:after="120"/>
            </w:pPr>
            <w:r>
              <w:rPr>
                <w:rFonts w:ascii="Calibri" w:cs="Calibri" w:eastAsia="Calibri" w:hAnsi="Calibri"/>
                <w:sz w:val="20"/>
                <w:szCs w:val="20"/>
              </w:rPr>
              <w:t xml:space="preserve">ATR Percentile</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High value</w:t>
            </w:r>
          </w:p>
        </w:tc>
        <w:tc>
          <w:tcPr>
            <w:tcW w:type="dxa" w:w="2640"/>
            <w:vAlign w:val="center"/>
          </w:tcPr>
          <w:p>
            <w:pPr>
              <w:spacing w:after="120"/>
            </w:pPr>
            <w:r>
              <w:rPr>
                <w:rFonts w:ascii="Calibri" w:cs="Calibri" w:eastAsia="Calibri" w:hAnsi="Calibri"/>
                <w:sz w:val="20"/>
                <w:szCs w:val="20"/>
              </w:rPr>
              <w:t xml:space="preserve">Raw ATR is meaningless without context. ATR percentile (current ATR vs. 60-day ATR history) distinguishes 'this stock is always volatile' from 'this stock is unusually volatile right now.' The latter is actionable.</w:t>
            </w:r>
          </w:p>
        </w:tc>
      </w:tr>
      <w:tr>
        <w:tc>
          <w:tcPr>
            <w:tcW w:type="dxa" w:w="2000"/>
            <w:vAlign w:val="center"/>
          </w:tcPr>
          <w:p>
            <w:pPr>
              <w:spacing w:after="120"/>
            </w:pPr>
            <w:r>
              <w:rPr>
                <w:rFonts w:ascii="Calibri" w:cs="Calibri" w:eastAsia="Calibri" w:hAnsi="Calibri"/>
                <w:sz w:val="20"/>
                <w:szCs w:val="20"/>
              </w:rPr>
              <w:t xml:space="preserve">ATR Acceleration</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Medium value</w:t>
            </w:r>
          </w:p>
        </w:tc>
        <w:tc>
          <w:tcPr>
            <w:tcW w:type="dxa" w:w="2640"/>
            <w:vAlign w:val="center"/>
          </w:tcPr>
          <w:p>
            <w:pPr>
              <w:spacing w:after="120"/>
            </w:pPr>
            <w:r>
              <w:rPr>
                <w:rFonts w:ascii="Calibri" w:cs="Calibri" w:eastAsia="Calibri" w:hAnsi="Calibri"/>
                <w:sz w:val="20"/>
                <w:szCs w:val="20"/>
              </w:rPr>
              <w:t xml:space="preserve">Rate of change of ATR. Rapidly increasing ATR signals regime transition. Useful for the VolatilityEvaluator, which currently only uses Bollinger bandwidth.</w:t>
            </w:r>
          </w:p>
        </w:tc>
      </w:tr>
      <w:tr>
        <w:tc>
          <w:tcPr>
            <w:tcW w:type="dxa" w:w="2000"/>
            <w:vAlign w:val="center"/>
          </w:tcPr>
          <w:p>
            <w:pPr>
              <w:spacing w:after="120"/>
            </w:pPr>
            <w:r>
              <w:rPr>
                <w:rFonts w:ascii="Calibri" w:cs="Calibri" w:eastAsia="Calibri" w:hAnsi="Calibri"/>
                <w:sz w:val="20"/>
                <w:szCs w:val="20"/>
              </w:rPr>
              <w:t xml:space="preserve">Gap Detection</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High value</w:t>
            </w:r>
          </w:p>
        </w:tc>
        <w:tc>
          <w:tcPr>
            <w:tcW w:type="dxa" w:w="2640"/>
            <w:vAlign w:val="center"/>
          </w:tcPr>
          <w:p>
            <w:pPr>
              <w:spacing w:after="120"/>
            </w:pPr>
            <w:r>
              <w:rPr>
                <w:rFonts w:ascii="Calibri" w:cs="Calibri" w:eastAsia="Calibri" w:hAnsi="Calibri"/>
                <w:sz w:val="20"/>
                <w:szCs w:val="20"/>
              </w:rPr>
              <w:t xml:space="preserve">No open-vs-prior-close gap calculation exists. Gaps are among the strongest short-term signals. Gap-up on volume vs. gap-down on volume have very different implications.</w:t>
            </w:r>
          </w:p>
        </w:tc>
      </w:tr>
      <w:tr>
        <w:tc>
          <w:tcPr>
            <w:tcW w:type="dxa" w:w="2000"/>
            <w:vAlign w:val="center"/>
          </w:tcPr>
          <w:p>
            <w:pPr>
              <w:spacing w:after="120"/>
            </w:pPr>
            <w:r>
              <w:rPr>
                <w:rFonts w:ascii="Calibri" w:cs="Calibri" w:eastAsia="Calibri" w:hAnsi="Calibri"/>
                <w:sz w:val="20"/>
                <w:szCs w:val="20"/>
              </w:rPr>
              <w:t xml:space="preserve">Gap Classification</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High value</w:t>
            </w:r>
          </w:p>
        </w:tc>
        <w:tc>
          <w:tcPr>
            <w:tcW w:type="dxa" w:w="2640"/>
            <w:vAlign w:val="center"/>
          </w:tcPr>
          <w:p>
            <w:pPr>
              <w:spacing w:after="120"/>
            </w:pPr>
            <w:r>
              <w:rPr>
                <w:rFonts w:ascii="Calibri" w:cs="Calibri" w:eastAsia="Calibri" w:hAnsi="Calibri"/>
                <w:sz w:val="20"/>
                <w:szCs w:val="20"/>
              </w:rPr>
              <w:t xml:space="preserve">Breakaway, exhaustion, common, and continuation gaps behave very differently. Classification requires gap size, volume context, and position relative to prior range.</w:t>
            </w:r>
          </w:p>
        </w:tc>
      </w:tr>
      <w:tr>
        <w:tc>
          <w:tcPr>
            <w:tcW w:type="dxa" w:w="2000"/>
            <w:vAlign w:val="center"/>
          </w:tcPr>
          <w:p>
            <w:pPr>
              <w:spacing w:after="120"/>
            </w:pPr>
            <w:r>
              <w:rPr>
                <w:rFonts w:ascii="Calibri" w:cs="Calibri" w:eastAsia="Calibri" w:hAnsi="Calibri"/>
                <w:sz w:val="20"/>
                <w:szCs w:val="20"/>
              </w:rPr>
              <w:t xml:space="preserve">Gap Fill Probability</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MAYBE — Needs data</w:t>
            </w:r>
          </w:p>
        </w:tc>
        <w:tc>
          <w:tcPr>
            <w:tcW w:type="dxa" w:w="2640"/>
            <w:vAlign w:val="center"/>
          </w:tcPr>
          <w:p>
            <w:pPr>
              <w:spacing w:after="120"/>
            </w:pPr>
            <w:r>
              <w:rPr>
                <w:rFonts w:ascii="Calibri" w:cs="Calibri" w:eastAsia="Calibri" w:hAnsi="Calibri"/>
                <w:sz w:val="20"/>
                <w:szCs w:val="20"/>
              </w:rPr>
              <w:t xml:space="preserve">Useful for mean reversion plays. Requires historical gap fill rate data that STOCKJAWN doesn't collect yet.</w:t>
            </w:r>
          </w:p>
        </w:tc>
      </w:tr>
      <w:tr>
        <w:tc>
          <w:tcPr>
            <w:tcW w:type="dxa" w:w="2000"/>
            <w:vAlign w:val="center"/>
          </w:tcPr>
          <w:p>
            <w:pPr>
              <w:spacing w:after="120"/>
            </w:pPr>
            <w:r>
              <w:rPr>
                <w:rFonts w:ascii="Calibri" w:cs="Calibri" w:eastAsia="Calibri" w:hAnsi="Calibri"/>
                <w:sz w:val="20"/>
                <w:szCs w:val="20"/>
              </w:rPr>
              <w:t xml:space="preserve">Relative Volume Persistence</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Medium value</w:t>
            </w:r>
          </w:p>
        </w:tc>
        <w:tc>
          <w:tcPr>
            <w:tcW w:type="dxa" w:w="2640"/>
            <w:vAlign w:val="center"/>
          </w:tcPr>
          <w:p>
            <w:pPr>
              <w:spacing w:after="120"/>
            </w:pPr>
            <w:r>
              <w:rPr>
                <w:rFonts w:ascii="Calibri" w:cs="Calibri" w:eastAsia="Calibri" w:hAnsi="Calibri"/>
                <w:sz w:val="20"/>
                <w:szCs w:val="20"/>
              </w:rPr>
              <w:t xml:space="preserve">Current VolumeRatio is a single-bar snapshot. Whether elevated volume persists over 3-5 bars distinguishes institutional interest from noise.</w:t>
            </w:r>
          </w:p>
        </w:tc>
      </w:tr>
      <w:tr>
        <w:tc>
          <w:tcPr>
            <w:tcW w:type="dxa" w:w="2000"/>
            <w:vAlign w:val="center"/>
          </w:tcPr>
          <w:p>
            <w:pPr>
              <w:spacing w:after="120"/>
            </w:pPr>
            <w:r>
              <w:rPr>
                <w:rFonts w:ascii="Calibri" w:cs="Calibri" w:eastAsia="Calibri" w:hAnsi="Calibri"/>
                <w:sz w:val="20"/>
                <w:szCs w:val="20"/>
              </w:rPr>
              <w:t xml:space="preserve">Bollinger Bandwidth Percentile</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Medium value</w:t>
            </w:r>
          </w:p>
        </w:tc>
        <w:tc>
          <w:tcPr>
            <w:tcW w:type="dxa" w:w="2640"/>
            <w:vAlign w:val="center"/>
          </w:tcPr>
          <w:p>
            <w:pPr>
              <w:spacing w:after="120"/>
            </w:pPr>
            <w:r>
              <w:rPr>
                <w:rFonts w:ascii="Calibri" w:cs="Calibri" w:eastAsia="Calibri" w:hAnsi="Calibri"/>
                <w:sz w:val="20"/>
                <w:szCs w:val="20"/>
              </w:rPr>
              <w:t xml:space="preserve">Bandwidth &lt; 3% is a fixed threshold. Percentile ranking against a stock's own history would be more adaptive.</w:t>
            </w:r>
          </w:p>
        </w:tc>
      </w:tr>
      <w:tr>
        <w:tc>
          <w:tcPr>
            <w:tcW w:type="dxa" w:w="2000"/>
            <w:vAlign w:val="center"/>
          </w:tcPr>
          <w:p>
            <w:pPr>
              <w:spacing w:after="120"/>
            </w:pPr>
            <w:r>
              <w:rPr>
                <w:rFonts w:ascii="Calibri" w:cs="Calibri" w:eastAsia="Calibri" w:hAnsi="Calibri"/>
                <w:sz w:val="20"/>
                <w:szCs w:val="20"/>
              </w:rPr>
              <w:t xml:space="preserve">Bollinger Bandwidth Direction</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Medium value</w:t>
            </w:r>
          </w:p>
        </w:tc>
        <w:tc>
          <w:tcPr>
            <w:tcW w:type="dxa" w:w="2640"/>
            <w:vAlign w:val="center"/>
          </w:tcPr>
          <w:p>
            <w:pPr>
              <w:spacing w:after="120"/>
            </w:pPr>
            <w:r>
              <w:rPr>
                <w:rFonts w:ascii="Calibri" w:cs="Calibri" w:eastAsia="Calibri" w:hAnsi="Calibri"/>
                <w:sz w:val="20"/>
                <w:szCs w:val="20"/>
              </w:rPr>
              <w:t xml:space="preserve">Whether bandwidth is expanding or contracting matters. Currently only the absolute level is checked.</w:t>
            </w:r>
          </w:p>
        </w:tc>
      </w:tr>
      <w:tr>
        <w:tc>
          <w:tcPr>
            <w:tcW w:type="dxa" w:w="2000"/>
            <w:vAlign w:val="center"/>
          </w:tcPr>
          <w:p>
            <w:pPr>
              <w:spacing w:after="120"/>
            </w:pPr>
            <w:r>
              <w:rPr>
                <w:rFonts w:ascii="Calibri" w:cs="Calibri" w:eastAsia="Calibri" w:hAnsi="Calibri"/>
                <w:sz w:val="20"/>
                <w:szCs w:val="20"/>
              </w:rPr>
              <w:t xml:space="preserve">MACD</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LOW — Redundant</w:t>
            </w:r>
          </w:p>
        </w:tc>
        <w:tc>
          <w:tcPr>
            <w:tcW w:type="dxa" w:w="2640"/>
            <w:vAlign w:val="center"/>
          </w:tcPr>
          <w:p>
            <w:pPr>
              <w:spacing w:after="120"/>
            </w:pPr>
            <w:r>
              <w:rPr>
                <w:rFonts w:ascii="Calibri" w:cs="Calibri" w:eastAsia="Calibri" w:hAnsi="Calibri"/>
                <w:sz w:val="20"/>
                <w:szCs w:val="20"/>
              </w:rPr>
              <w:t xml:space="preserve">MACD duplicates information already in ROC5/ROC10 and SMA crossover. Not worth adding.</w:t>
            </w:r>
          </w:p>
        </w:tc>
      </w:tr>
      <w:tr>
        <w:tc>
          <w:tcPr>
            <w:tcW w:type="dxa" w:w="2000"/>
            <w:vAlign w:val="center"/>
          </w:tcPr>
          <w:p>
            <w:pPr>
              <w:spacing w:after="120"/>
            </w:pPr>
            <w:r>
              <w:rPr>
                <w:rFonts w:ascii="Calibri" w:cs="Calibri" w:eastAsia="Calibri" w:hAnsi="Calibri"/>
                <w:sz w:val="20"/>
                <w:szCs w:val="20"/>
              </w:rPr>
              <w:t xml:space="preserve">Per-Stock Volatility Regime</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High value</w:t>
            </w:r>
          </w:p>
        </w:tc>
        <w:tc>
          <w:tcPr>
            <w:tcW w:type="dxa" w:w="2640"/>
            <w:vAlign w:val="center"/>
          </w:tcPr>
          <w:p>
            <w:pPr>
              <w:spacing w:after="120"/>
            </w:pPr>
            <w:r>
              <w:rPr>
                <w:rFonts w:ascii="Calibri" w:cs="Calibri" w:eastAsia="Calibri" w:hAnsi="Calibri"/>
                <w:sz w:val="20"/>
                <w:szCs w:val="20"/>
              </w:rPr>
              <w:t xml:space="preserve">Market regime is SPY-based. Individual stocks can be in squeeze while market trends. This is a genuine gap in situational awareness.</w:t>
            </w:r>
          </w:p>
        </w:tc>
      </w:tr>
      <w:tr>
        <w:tc>
          <w:tcPr>
            <w:tcW w:type="dxa" w:w="2000"/>
            <w:vAlign w:val="center"/>
          </w:tcPr>
          <w:p>
            <w:pPr>
              <w:spacing w:after="120"/>
            </w:pPr>
            <w:r>
              <w:rPr>
                <w:rFonts w:ascii="Calibri" w:cs="Calibri" w:eastAsia="Calibri" w:hAnsi="Calibri"/>
                <w:sz w:val="20"/>
                <w:szCs w:val="20"/>
              </w:rPr>
              <w:t xml:space="preserve">Mean Reversion Probability</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MAYBE — Complex</w:t>
            </w:r>
          </w:p>
        </w:tc>
        <w:tc>
          <w:tcPr>
            <w:tcW w:type="dxa" w:w="2640"/>
            <w:vAlign w:val="center"/>
          </w:tcPr>
          <w:p>
            <w:pPr>
              <w:spacing w:after="120"/>
            </w:pPr>
            <w:r>
              <w:rPr>
                <w:rFonts w:ascii="Calibri" w:cs="Calibri" w:eastAsia="Calibri" w:hAnsi="Calibri"/>
                <w:sz w:val="20"/>
                <w:szCs w:val="20"/>
              </w:rPr>
              <w:t xml:space="preserve">Useful in theory but requires significant historical data and regime conditioning. The mean_reversion setup type exists but has no probability estimate.</w:t>
            </w:r>
          </w:p>
        </w:tc>
      </w:tr>
      <w:tr>
        <w:tc>
          <w:tcPr>
            <w:tcW w:type="dxa" w:w="2000"/>
            <w:vAlign w:val="center"/>
          </w:tcPr>
          <w:p>
            <w:pPr>
              <w:spacing w:after="120"/>
            </w:pPr>
            <w:r>
              <w:rPr>
                <w:rFonts w:ascii="Calibri" w:cs="Calibri" w:eastAsia="Calibri" w:hAnsi="Calibri"/>
                <w:sz w:val="20"/>
                <w:szCs w:val="20"/>
              </w:rPr>
              <w:t xml:space="preserve">Distance from Support After Panic</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Medium value</w:t>
            </w:r>
          </w:p>
        </w:tc>
        <w:tc>
          <w:tcPr>
            <w:tcW w:type="dxa" w:w="2640"/>
            <w:vAlign w:val="center"/>
          </w:tcPr>
          <w:p>
            <w:pPr>
              <w:spacing w:after="120"/>
            </w:pPr>
            <w:r>
              <w:rPr>
                <w:rFonts w:ascii="Calibri" w:cs="Calibri" w:eastAsia="Calibri" w:hAnsi="Calibri"/>
                <w:sz w:val="20"/>
                <w:szCs w:val="20"/>
              </w:rPr>
              <w:t xml:space="preserve">Currently no 'panic detection' exists. Distance from DonchianLow20 is computed but not interpreted as panic-proximity.</w:t>
            </w:r>
          </w:p>
        </w:tc>
      </w:tr>
      <w:tr>
        <w:tc>
          <w:tcPr>
            <w:tcW w:type="dxa" w:w="2000"/>
            <w:vAlign w:val="center"/>
          </w:tcPr>
          <w:p>
            <w:pPr>
              <w:spacing w:after="120"/>
            </w:pPr>
            <w:r>
              <w:rPr>
                <w:rFonts w:ascii="Calibri" w:cs="Calibri" w:eastAsia="Calibri" w:hAnsi="Calibri"/>
                <w:sz w:val="20"/>
                <w:szCs w:val="20"/>
              </w:rPr>
              <w:t xml:space="preserve">Catalyst Freshness</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YES — Medium value</w:t>
            </w:r>
          </w:p>
        </w:tc>
        <w:tc>
          <w:tcPr>
            <w:tcW w:type="dxa" w:w="2640"/>
            <w:vAlign w:val="center"/>
          </w:tcPr>
          <w:p>
            <w:pPr>
              <w:spacing w:after="120"/>
            </w:pPr>
            <w:r>
              <w:rPr>
                <w:rFonts w:ascii="Calibri" w:cs="Calibri" w:eastAsia="Calibri" w:hAnsi="Calibri"/>
                <w:sz w:val="20"/>
                <w:szCs w:val="20"/>
              </w:rPr>
              <w:t xml:space="preserve">CatalystEvaluator scores recency but the raw age-in-hours of the most recent catalyst is not a standalone signal. A 2-hour-old catalyst drives different behavior than a 48-hour-old one.</w:t>
            </w:r>
          </w:p>
        </w:tc>
      </w:tr>
      <w:tr>
        <w:tc>
          <w:tcPr>
            <w:tcW w:type="dxa" w:w="2000"/>
            <w:vAlign w:val="center"/>
          </w:tcPr>
          <w:p>
            <w:pPr>
              <w:spacing w:after="120"/>
            </w:pPr>
            <w:r>
              <w:rPr>
                <w:rFonts w:ascii="Calibri" w:cs="Calibri" w:eastAsia="Calibri" w:hAnsi="Calibri"/>
                <w:sz w:val="20"/>
                <w:szCs w:val="20"/>
              </w:rPr>
              <w:t xml:space="preserve">Options Flow Confirmation</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NO — Data unavailable</w:t>
            </w:r>
          </w:p>
        </w:tc>
        <w:tc>
          <w:tcPr>
            <w:tcW w:type="dxa" w:w="2640"/>
            <w:vAlign w:val="center"/>
          </w:tcPr>
          <w:p>
            <w:pPr>
              <w:spacing w:after="120"/>
            </w:pPr>
            <w:r>
              <w:rPr>
                <w:rFonts w:ascii="Calibri" w:cs="Calibri" w:eastAsia="Calibri" w:hAnsi="Calibri"/>
                <w:sz w:val="20"/>
                <w:szCs w:val="20"/>
              </w:rPr>
              <w:t xml:space="preserve">Report mentions put/call skew but STOCKJAWN uses MarketData.app for option chains only on specific candidates. No real-time options flow data is available.</w:t>
            </w:r>
          </w:p>
        </w:tc>
      </w:tr>
      <w:tr>
        <w:tc>
          <w:tcPr>
            <w:tcW w:type="dxa" w:w="2000"/>
            <w:vAlign w:val="center"/>
          </w:tcPr>
          <w:p>
            <w:pPr>
              <w:spacing w:after="120"/>
            </w:pPr>
            <w:r>
              <w:rPr>
                <w:rFonts w:ascii="Calibri" w:cs="Calibri" w:eastAsia="Calibri" w:hAnsi="Calibri"/>
                <w:sz w:val="20"/>
                <w:szCs w:val="20"/>
              </w:rPr>
              <w:t xml:space="preserve">Intraday Reversal Strength</w:t>
            </w:r>
          </w:p>
        </w:tc>
        <w:tc>
          <w:tcPr>
            <w:tcW w:type="dxa" w:w="2500"/>
            <w:vAlign w:val="center"/>
          </w:tcPr>
          <w:p>
            <w:pPr>
              <w:spacing w:after="120"/>
            </w:pPr>
            <w:r>
              <w:rPr>
                <w:rFonts w:ascii="Calibri" w:cs="Calibri" w:eastAsia="Calibri" w:hAnsi="Calibri"/>
                <w:sz w:val="20"/>
                <w:szCs w:val="20"/>
              </w:rPr>
              <w:t xml:space="preserve">MISSING</w:t>
            </w:r>
          </w:p>
        </w:tc>
        <w:tc>
          <w:tcPr>
            <w:tcW w:type="dxa" w:w="2500"/>
            <w:vAlign w:val="center"/>
          </w:tcPr>
          <w:p>
            <w:pPr>
              <w:spacing w:after="120"/>
            </w:pPr>
            <w:r>
              <w:rPr>
                <w:rFonts w:ascii="Calibri" w:cs="Calibri" w:eastAsia="Calibri" w:hAnsi="Calibri"/>
                <w:sz w:val="20"/>
                <w:szCs w:val="20"/>
              </w:rPr>
              <w:t xml:space="preserve">NO — Wrong timeframe</w:t>
            </w:r>
          </w:p>
        </w:tc>
        <w:tc>
          <w:tcPr>
            <w:tcW w:type="dxa" w:w="2640"/>
            <w:vAlign w:val="center"/>
          </w:tcPr>
          <w:p>
            <w:pPr>
              <w:spacing w:after="120"/>
            </w:pPr>
            <w:r>
              <w:rPr>
                <w:rFonts w:ascii="Calibri" w:cs="Calibri" w:eastAsia="Calibri" w:hAnsi="Calibri"/>
                <w:sz w:val="20"/>
                <w:szCs w:val="20"/>
              </w:rPr>
              <w:t xml:space="preserve">STOCKJAWN runs Morning Scan once daily. Intraday reversal detection requires continuous monitoring that doesn't fit the architecture.</w:t>
            </w:r>
          </w:p>
        </w:tc>
      </w:tr>
    </w:tbl>
    <w:p>
      <w:pPr>
        <w:spacing w:after="120"/>
      </w:pPr>
      <w:r>
        <w:rPr>
          <w:rFonts w:ascii="Calibri" w:cs="Calibri" w:eastAsia="Calibri" w:hAnsi="Calibri"/>
          <w:sz w:val="22"/>
          <w:szCs w:val="22"/>
        </w:rPr>
        <w:t xml:space="preserve">Summary: Of the 15 signals evaluated, 7 are high or medium value and architecturally feasible. The highest-impact additions are ATR Percentile, Gap Detection/Classification, and Per-Stock Volatility Regime. These three address genuine blind spots in the current system.</w:t>
      </w:r>
    </w:p>
    <w:p>
      <w:r>
        <w:br w:type="page"/>
      </w:r>
    </w:p>
    <w:p>
      <w:pPr>
        <w:pStyle w:val="Heading1"/>
        <w:spacing w:after="120" w:before="240"/>
      </w:pPr>
      <w:r>
        <w:rPr>
          <w:rFonts w:ascii="Calibri" w:cs="Calibri" w:eastAsia="Calibri" w:hAnsi="Calibri"/>
          <w:b/>
          <w:bCs/>
          <w:sz w:val="22"/>
          <w:szCs w:val="22"/>
        </w:rPr>
        <w:t xml:space="preserve">Phase 4 — Volatility Opportunity Engine Design</w:t>
      </w:r>
    </w:p>
    <w:p>
      <w:pPr>
        <w:pStyle w:val="Heading2"/>
        <w:spacing w:after="120" w:before="240"/>
      </w:pPr>
      <w:r>
        <w:rPr>
          <w:rFonts w:ascii="Calibri" w:cs="Calibri" w:eastAsia="Calibri" w:hAnsi="Calibri"/>
          <w:b/>
          <w:bCs/>
          <w:sz w:val="22"/>
          <w:szCs w:val="22"/>
        </w:rPr>
        <w:t xml:space="preserve">4.1 Purpose</w:t>
      </w:r>
    </w:p>
    <w:p>
      <w:pPr>
        <w:spacing w:after="120"/>
      </w:pPr>
      <w:r>
        <w:rPr>
          <w:rFonts w:ascii="Calibri" w:cs="Calibri" w:eastAsia="Calibri" w:hAnsi="Calibri"/>
          <w:sz w:val="22"/>
          <w:szCs w:val="22"/>
        </w:rPr>
        <w:t xml:space="preserve">The Volatility Opportunity Engine (VOE) is NOT a standalone prediction system. It is a feature generator that produces structured volatility context for the existing Scoring Engine. Its purpose is to answer: 'What is the volatility situation for this stock right now, and does it create a specific type of opportunity?' The VOE outputs features that the VolatilityEvaluator (currently the weakest scoring bucket at max 10/10) can use to make better-informed contributions to the overall score.</w:t>
      </w:r>
    </w:p>
    <w:p>
      <w:pPr>
        <w:pStyle w:val="Heading2"/>
        <w:spacing w:after="120" w:before="240"/>
      </w:pPr>
      <w:r>
        <w:rPr>
          <w:rFonts w:ascii="Calibri" w:cs="Calibri" w:eastAsia="Calibri" w:hAnsi="Calibri"/>
          <w:b/>
          <w:bCs/>
          <w:sz w:val="22"/>
          <w:szCs w:val="22"/>
        </w:rPr>
        <w:t xml:space="preserve">4.2 Inputs</w:t>
      </w:r>
    </w:p>
    <w:p>
      <w:pPr>
        <w:pStyle w:val="ListParagraph"/>
        <w:numPr>
          <w:ilvl w:val="0"/>
          <w:numId w:val="1"/>
        </w:numPr>
        <w:spacing w:after="120"/>
      </w:pPr>
      <w:r>
        <w:rPr>
          <w:rFonts w:ascii="Calibri" w:cs="Calibri" w:eastAsia="Calibri" w:hAnsi="Calibri"/>
          <w:sz w:val="22"/>
          <w:szCs w:val="22"/>
        </w:rPr>
        <w:t xml:space="preserve">Recent OHLCV bars (already available from TwelveData via MarketDataService)</w:t>
      </w:r>
    </w:p>
    <w:p>
      <w:pPr>
        <w:pStyle w:val="ListParagraph"/>
        <w:numPr>
          <w:ilvl w:val="0"/>
          <w:numId w:val="1"/>
        </w:numPr>
        <w:spacing w:after="120"/>
      </w:pPr>
      <w:r>
        <w:rPr>
          <w:rFonts w:ascii="Calibri" w:cs="Calibri" w:eastAsia="Calibri" w:hAnsi="Calibri"/>
          <w:sz w:val="22"/>
          <w:szCs w:val="22"/>
        </w:rPr>
        <w:t xml:space="preserve">Existing IndicatorEngine output (RSI, ATR, Bollinger, volume ratio — already computed)</w:t>
      </w:r>
    </w:p>
    <w:p>
      <w:pPr>
        <w:pStyle w:val="ListParagraph"/>
        <w:numPr>
          <w:ilvl w:val="0"/>
          <w:numId w:val="1"/>
        </w:numPr>
        <w:spacing w:after="120"/>
      </w:pPr>
      <w:r>
        <w:rPr>
          <w:rFonts w:ascii="Calibri" w:cs="Calibri" w:eastAsia="Calibri" w:hAnsi="Calibri"/>
          <w:sz w:val="22"/>
          <w:szCs w:val="22"/>
        </w:rPr>
        <w:t xml:space="preserve">Market regime assessment (already computed by MarketRegimeEngine)</w:t>
      </w:r>
    </w:p>
    <w:p>
      <w:pPr>
        <w:pStyle w:val="ListParagraph"/>
        <w:numPr>
          <w:ilvl w:val="0"/>
          <w:numId w:val="1"/>
        </w:numPr>
        <w:spacing w:after="120"/>
      </w:pPr>
      <w:r>
        <w:rPr>
          <w:rFonts w:ascii="Calibri" w:cs="Calibri" w:eastAsia="Calibri" w:hAnsi="Calibri"/>
          <w:sz w:val="22"/>
          <w:szCs w:val="22"/>
        </w:rPr>
        <w:t xml:space="preserve">Catalyst context (already computed by CatalystEvaluator)</w:t>
      </w:r>
    </w:p>
    <w:p>
      <w:pPr>
        <w:pStyle w:val="Heading2"/>
        <w:spacing w:after="120" w:before="240"/>
      </w:pPr>
      <w:r>
        <w:rPr>
          <w:rFonts w:ascii="Calibri" w:cs="Calibri" w:eastAsia="Calibri" w:hAnsi="Calibri"/>
          <w:b/>
          <w:bCs/>
          <w:sz w:val="22"/>
          <w:szCs w:val="22"/>
        </w:rPr>
        <w:t xml:space="preserve">4.3 Internal Analysis</w:t>
      </w:r>
    </w:p>
    <w:p>
      <w:pPr>
        <w:spacing w:after="120"/>
      </w:pPr>
      <w:r>
        <w:rPr>
          <w:rFonts w:ascii="Calibri" w:cs="Calibri" w:eastAsia="Calibri" w:hAnsi="Calibri"/>
          <w:sz w:val="22"/>
          <w:szCs w:val="22"/>
        </w:rPr>
        <w:t xml:space="preserve">The VOE computes three categories of features from data already available in the pipeline:</w:t>
      </w:r>
    </w:p>
    <w:p>
      <w:pPr>
        <w:spacing w:after="120"/>
      </w:pPr>
      <w:r>
        <w:rPr>
          <w:rFonts w:ascii="Calibri" w:cs="Calibri" w:eastAsia="Calibri" w:hAnsi="Calibri"/>
          <w:b/>
          <w:bCs/>
          <w:sz w:val="22"/>
          <w:szCs w:val="22"/>
        </w:rPr>
        <w:t xml:space="preserve">A. Volatility Context Features</w:t>
      </w:r>
    </w:p>
    <w:p>
      <w:pPr>
        <w:pStyle w:val="ListParagraph"/>
        <w:numPr>
          <w:ilvl w:val="0"/>
          <w:numId w:val="1"/>
        </w:numPr>
        <w:spacing w:after="120"/>
      </w:pPr>
      <w:r>
        <w:rPr>
          <w:rFonts w:ascii="Calibri" w:cs="Calibri" w:eastAsia="Calibri" w:hAnsi="Calibri"/>
          <w:sz w:val="22"/>
          <w:szCs w:val="22"/>
        </w:rPr>
        <w:t xml:space="preserve">AtrPercentile — current ATR14 ranked against the stock's trailing 60-day ATR values (0-100)</w:t>
      </w:r>
    </w:p>
    <w:p>
      <w:pPr>
        <w:pStyle w:val="ListParagraph"/>
        <w:numPr>
          <w:ilvl w:val="0"/>
          <w:numId w:val="1"/>
        </w:numPr>
        <w:spacing w:after="120"/>
      </w:pPr>
      <w:r>
        <w:rPr>
          <w:rFonts w:ascii="Calibri" w:cs="Calibri" w:eastAsia="Calibri" w:hAnsi="Calibri"/>
          <w:sz w:val="22"/>
          <w:szCs w:val="22"/>
        </w:rPr>
        <w:t xml:space="preserve">AtrAcceleration — ATR14 rate of change over 5 days (positive = expanding, negative = contracting)</w:t>
      </w:r>
    </w:p>
    <w:p>
      <w:pPr>
        <w:pStyle w:val="ListParagraph"/>
        <w:numPr>
          <w:ilvl w:val="0"/>
          <w:numId w:val="1"/>
        </w:numPr>
        <w:spacing w:after="120"/>
      </w:pPr>
      <w:r>
        <w:rPr>
          <w:rFonts w:ascii="Calibri" w:cs="Calibri" w:eastAsia="Calibri" w:hAnsi="Calibri"/>
          <w:sz w:val="22"/>
          <w:szCs w:val="22"/>
        </w:rPr>
        <w:t xml:space="preserve">BandwidthPercentile — current BollingerBandwidth ranked against trailing 60-day values</w:t>
      </w:r>
    </w:p>
    <w:p>
      <w:pPr>
        <w:pStyle w:val="ListParagraph"/>
        <w:numPr>
          <w:ilvl w:val="0"/>
          <w:numId w:val="1"/>
        </w:numPr>
        <w:spacing w:after="120"/>
      </w:pPr>
      <w:r>
        <w:rPr>
          <w:rFonts w:ascii="Calibri" w:cs="Calibri" w:eastAsia="Calibri" w:hAnsi="Calibri"/>
          <w:sz w:val="22"/>
          <w:szCs w:val="22"/>
        </w:rPr>
        <w:t xml:space="preserve">BandwidthDirection — whether bandwidth is expanding or contracting (slope of last 5 bandwidth values)</w:t>
      </w:r>
    </w:p>
    <w:p>
      <w:pPr>
        <w:pStyle w:val="ListParagraph"/>
        <w:numPr>
          <w:ilvl w:val="0"/>
          <w:numId w:val="1"/>
        </w:numPr>
        <w:spacing w:after="120"/>
      </w:pPr>
      <w:r>
        <w:rPr>
          <w:rFonts w:ascii="Calibri" w:cs="Calibri" w:eastAsia="Calibri" w:hAnsi="Calibri"/>
          <w:sz w:val="22"/>
          <w:szCs w:val="22"/>
        </w:rPr>
        <w:t xml:space="preserve">StockVolatilityRegime — per-stock regime: Squeeze, Normal, Expanding, Extreme (from ATR percentile + bandwidth percentile)</w:t>
      </w:r>
    </w:p>
    <w:p>
      <w:pPr>
        <w:spacing w:after="120"/>
      </w:pPr>
      <w:r>
        <w:rPr>
          <w:rFonts w:ascii="Calibri" w:cs="Calibri" w:eastAsia="Calibri" w:hAnsi="Calibri"/>
          <w:b/>
          <w:bCs/>
          <w:sz w:val="22"/>
          <w:szCs w:val="22"/>
        </w:rPr>
        <w:t xml:space="preserve">B. Gap &amp; Dislocation Features</w:t>
      </w:r>
    </w:p>
    <w:p>
      <w:pPr>
        <w:pStyle w:val="ListParagraph"/>
        <w:numPr>
          <w:ilvl w:val="0"/>
          <w:numId w:val="1"/>
        </w:numPr>
        <w:spacing w:after="120"/>
      </w:pPr>
      <w:r>
        <w:rPr>
          <w:rFonts w:ascii="Calibri" w:cs="Calibri" w:eastAsia="Calibri" w:hAnsi="Calibri"/>
          <w:sz w:val="22"/>
          <w:szCs w:val="22"/>
        </w:rPr>
        <w:t xml:space="preserve">GapPercent — (today's open - yesterday's close) / yesterday's close * 100</w:t>
      </w:r>
    </w:p>
    <w:p>
      <w:pPr>
        <w:pStyle w:val="ListParagraph"/>
        <w:numPr>
          <w:ilvl w:val="0"/>
          <w:numId w:val="1"/>
        </w:numPr>
        <w:spacing w:after="120"/>
      </w:pPr>
      <w:r>
        <w:rPr>
          <w:rFonts w:ascii="Calibri" w:cs="Calibri" w:eastAsia="Calibri" w:hAnsi="Calibri"/>
          <w:sz w:val="22"/>
          <w:szCs w:val="22"/>
        </w:rPr>
        <w:t xml:space="preserve">GapType — classified as: NoGap (&lt; 1%), SmallGap (1-3%), SignificantGap (3-5%), LargeGap (5-10%), ExtremeGap (&gt; 10%)</w:t>
      </w:r>
    </w:p>
    <w:p>
      <w:pPr>
        <w:pStyle w:val="ListParagraph"/>
        <w:numPr>
          <w:ilvl w:val="0"/>
          <w:numId w:val="1"/>
        </w:numPr>
        <w:spacing w:after="120"/>
      </w:pPr>
      <w:r>
        <w:rPr>
          <w:rFonts w:ascii="Calibri" w:cs="Calibri" w:eastAsia="Calibri" w:hAnsi="Calibri"/>
          <w:sz w:val="22"/>
          <w:szCs w:val="22"/>
        </w:rPr>
        <w:t xml:space="preserve">GapWithVolume — boolean: is gap accompanied by volume &gt; 1.5x average?</w:t>
      </w:r>
    </w:p>
    <w:p>
      <w:pPr>
        <w:pStyle w:val="ListParagraph"/>
        <w:numPr>
          <w:ilvl w:val="0"/>
          <w:numId w:val="1"/>
        </w:numPr>
        <w:spacing w:after="120"/>
      </w:pPr>
      <w:r>
        <w:rPr>
          <w:rFonts w:ascii="Calibri" w:cs="Calibri" w:eastAsia="Calibri" w:hAnsi="Calibri"/>
          <w:sz w:val="22"/>
          <w:szCs w:val="22"/>
        </w:rPr>
        <w:t xml:space="preserve">GapDirection — Up or Down</w:t>
      </w:r>
    </w:p>
    <w:p>
      <w:pPr>
        <w:pStyle w:val="ListParagraph"/>
        <w:numPr>
          <w:ilvl w:val="0"/>
          <w:numId w:val="1"/>
        </w:numPr>
        <w:spacing w:after="120"/>
      </w:pPr>
      <w:r>
        <w:rPr>
          <w:rFonts w:ascii="Calibri" w:cs="Calibri" w:eastAsia="Calibri" w:hAnsi="Calibri"/>
          <w:sz w:val="22"/>
          <w:szCs w:val="22"/>
        </w:rPr>
        <w:t xml:space="preserve">DistanceFromSupport — % distance from DonchianLow20</w:t>
      </w:r>
    </w:p>
    <w:p>
      <w:pPr>
        <w:pStyle w:val="ListParagraph"/>
        <w:numPr>
          <w:ilvl w:val="0"/>
          <w:numId w:val="1"/>
        </w:numPr>
        <w:spacing w:after="120"/>
      </w:pPr>
      <w:r>
        <w:rPr>
          <w:rFonts w:ascii="Calibri" w:cs="Calibri" w:eastAsia="Calibri" w:hAnsi="Calibri"/>
          <w:sz w:val="22"/>
          <w:szCs w:val="22"/>
        </w:rPr>
        <w:t xml:space="preserve">DistanceFromResistance — % distance from DonchianHigh20</w:t>
      </w:r>
    </w:p>
    <w:p>
      <w:pPr>
        <w:spacing w:after="120"/>
      </w:pPr>
      <w:r>
        <w:rPr>
          <w:rFonts w:ascii="Calibri" w:cs="Calibri" w:eastAsia="Calibri" w:hAnsi="Calibri"/>
          <w:b/>
          <w:bCs/>
          <w:sz w:val="22"/>
          <w:szCs w:val="22"/>
        </w:rPr>
        <w:t xml:space="preserve">C. Recovery &amp; Momentum Features</w:t>
      </w:r>
    </w:p>
    <w:p>
      <w:pPr>
        <w:pStyle w:val="ListParagraph"/>
        <w:numPr>
          <w:ilvl w:val="0"/>
          <w:numId w:val="1"/>
        </w:numPr>
        <w:spacing w:after="120"/>
      </w:pPr>
      <w:r>
        <w:rPr>
          <w:rFonts w:ascii="Calibri" w:cs="Calibri" w:eastAsia="Calibri" w:hAnsi="Calibri"/>
          <w:sz w:val="22"/>
          <w:szCs w:val="22"/>
        </w:rPr>
        <w:t xml:space="preserve">VolumeRatioPersistence — average VolumeRatio over last 3 bars (vs current single-bar ratio)</w:t>
      </w:r>
    </w:p>
    <w:p>
      <w:pPr>
        <w:pStyle w:val="ListParagraph"/>
        <w:numPr>
          <w:ilvl w:val="0"/>
          <w:numId w:val="1"/>
        </w:numPr>
        <w:spacing w:after="120"/>
      </w:pPr>
      <w:r>
        <w:rPr>
          <w:rFonts w:ascii="Calibri" w:cs="Calibri" w:eastAsia="Calibri" w:hAnsi="Calibri"/>
          <w:sz w:val="22"/>
          <w:szCs w:val="22"/>
        </w:rPr>
        <w:t xml:space="preserve">BounceQuality — when price touches lower Bollinger band, how quickly does it recover? (percentage recovered in 1 bar)</w:t>
      </w:r>
    </w:p>
    <w:p>
      <w:pPr>
        <w:pStyle w:val="ListParagraph"/>
        <w:numPr>
          <w:ilvl w:val="0"/>
          <w:numId w:val="1"/>
        </w:numPr>
        <w:spacing w:after="120"/>
      </w:pPr>
      <w:r>
        <w:rPr>
          <w:rFonts w:ascii="Calibri" w:cs="Calibri" w:eastAsia="Calibri" w:hAnsi="Calibri"/>
          <w:sz w:val="22"/>
          <w:szCs w:val="22"/>
        </w:rPr>
        <w:t xml:space="preserve">CatalystAge — hours since most recent catalyst event</w:t>
      </w:r>
    </w:p>
    <w:p>
      <w:pPr>
        <w:pStyle w:val="Heading2"/>
        <w:spacing w:after="120" w:before="240"/>
      </w:pPr>
      <w:r>
        <w:rPr>
          <w:rFonts w:ascii="Calibri" w:cs="Calibri" w:eastAsia="Calibri" w:hAnsi="Calibri"/>
          <w:b/>
          <w:bCs/>
          <w:sz w:val="22"/>
          <w:szCs w:val="22"/>
        </w:rPr>
        <w:t xml:space="preserve">4.4 Opportunity Classification</w:t>
      </w:r>
    </w:p>
    <w:p>
      <w:pPr>
        <w:spacing w:after="120"/>
      </w:pPr>
      <w:r>
        <w:rPr>
          <w:rFonts w:ascii="Calibri" w:cs="Calibri" w:eastAsia="Calibri" w:hAnsi="Calibri"/>
          <w:sz w:val="22"/>
          <w:szCs w:val="22"/>
        </w:rPr>
        <w:t xml:space="preserve">From the computed features, the VOE classifies the current situation into one of these opportunity types (or 'None'):</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2500"/>
        <w:gridCol w:w="3500"/>
        <w:gridCol w:w="3640"/>
      </w:tblGrid>
      <w:tr>
        <w:tc>
          <w:tcPr>
            <w:tcW w:type="dxa" w:w="2500"/>
            <w:shd w:fill="E8E8E8" w:val="clear"/>
            <w:vAlign w:val="center"/>
          </w:tcPr>
          <w:p>
            <w:pPr>
              <w:spacing w:after="120"/>
            </w:pPr>
            <w:r>
              <w:rPr>
                <w:rFonts w:ascii="Calibri" w:cs="Calibri" w:eastAsia="Calibri" w:hAnsi="Calibri"/>
                <w:b/>
                <w:bCs/>
                <w:sz w:val="20"/>
                <w:szCs w:val="20"/>
              </w:rPr>
              <w:t xml:space="preserve">Opportunity Type</w:t>
            </w:r>
          </w:p>
        </w:tc>
        <w:tc>
          <w:tcPr>
            <w:tcW w:type="dxa" w:w="3500"/>
            <w:shd w:fill="E8E8E8" w:val="clear"/>
            <w:vAlign w:val="center"/>
          </w:tcPr>
          <w:p>
            <w:pPr>
              <w:spacing w:after="120"/>
            </w:pPr>
            <w:r>
              <w:rPr>
                <w:rFonts w:ascii="Calibri" w:cs="Calibri" w:eastAsia="Calibri" w:hAnsi="Calibri"/>
                <w:sz w:val="20"/>
                <w:szCs w:val="20"/>
              </w:rPr>
              <w:t xml:space="preserve">Detection Logic</w:t>
            </w:r>
          </w:p>
        </w:tc>
        <w:tc>
          <w:tcPr>
            <w:tcW w:type="dxa" w:w="3640"/>
            <w:shd w:fill="E8E8E8" w:val="clear"/>
            <w:vAlign w:val="center"/>
          </w:tcPr>
          <w:p>
            <w:pPr>
              <w:spacing w:after="120"/>
            </w:pPr>
            <w:r>
              <w:rPr>
                <w:rFonts w:ascii="Calibri" w:cs="Calibri" w:eastAsia="Calibri" w:hAnsi="Calibri"/>
                <w:sz w:val="20"/>
                <w:szCs w:val="20"/>
              </w:rPr>
              <w:t xml:space="preserve">Scoring Impact</w:t>
            </w:r>
          </w:p>
        </w:tc>
      </w:tr>
      <w:tr>
        <w:tc>
          <w:tcPr>
            <w:tcW w:type="dxa" w:w="2500"/>
            <w:vAlign w:val="center"/>
          </w:tcPr>
          <w:p>
            <w:pPr>
              <w:spacing w:after="120"/>
            </w:pPr>
            <w:r>
              <w:rPr>
                <w:rFonts w:ascii="Calibri" w:cs="Calibri" w:eastAsia="Calibri" w:hAnsi="Calibri"/>
                <w:sz w:val="20"/>
                <w:szCs w:val="20"/>
              </w:rPr>
              <w:t xml:space="preserve">DipAfterPanic</w:t>
            </w:r>
          </w:p>
        </w:tc>
        <w:tc>
          <w:tcPr>
            <w:tcW w:type="dxa" w:w="3500"/>
            <w:vAlign w:val="center"/>
          </w:tcPr>
          <w:p>
            <w:pPr>
              <w:spacing w:after="120"/>
            </w:pPr>
            <w:r>
              <w:rPr>
                <w:rFonts w:ascii="Calibri" w:cs="Calibri" w:eastAsia="Calibri" w:hAnsi="Calibri"/>
                <w:sz w:val="20"/>
                <w:szCs w:val="20"/>
              </w:rPr>
              <w:t xml:space="preserve">GapDown &gt;= 5% AND RSI &lt; 30 AND VolumeRatio &gt; 1.5 AND market regime != CrisisSelling</w:t>
            </w:r>
          </w:p>
        </w:tc>
        <w:tc>
          <w:tcPr>
            <w:tcW w:type="dxa" w:w="3640"/>
            <w:vAlign w:val="center"/>
          </w:tcPr>
          <w:p>
            <w:pPr>
              <w:spacing w:after="120"/>
            </w:pPr>
            <w:r>
              <w:rPr>
                <w:rFonts w:ascii="Calibri" w:cs="Calibri" w:eastAsia="Calibri" w:hAnsi="Calibri"/>
                <w:sz w:val="20"/>
                <w:szCs w:val="20"/>
              </w:rPr>
              <w:t xml:space="preserve">Strong bullish signal for VolatilityEvaluator (+7 bull)</w:t>
            </w:r>
          </w:p>
        </w:tc>
      </w:tr>
      <w:tr>
        <w:tc>
          <w:tcPr>
            <w:tcW w:type="dxa" w:w="2500"/>
            <w:vAlign w:val="center"/>
          </w:tcPr>
          <w:p>
            <w:pPr>
              <w:spacing w:after="120"/>
            </w:pPr>
            <w:r>
              <w:rPr>
                <w:rFonts w:ascii="Calibri" w:cs="Calibri" w:eastAsia="Calibri" w:hAnsi="Calibri"/>
                <w:sz w:val="20"/>
                <w:szCs w:val="20"/>
              </w:rPr>
              <w:t xml:space="preserve">SqueezeBreakout</w:t>
            </w:r>
          </w:p>
        </w:tc>
        <w:tc>
          <w:tcPr>
            <w:tcW w:type="dxa" w:w="3500"/>
            <w:vAlign w:val="center"/>
          </w:tcPr>
          <w:p>
            <w:pPr>
              <w:spacing w:after="120"/>
            </w:pPr>
            <w:r>
              <w:rPr>
                <w:rFonts w:ascii="Calibri" w:cs="Calibri" w:eastAsia="Calibri" w:hAnsi="Calibri"/>
                <w:sz w:val="20"/>
                <w:szCs w:val="20"/>
              </w:rPr>
              <w:t xml:space="preserve">BandwidthPercentile &lt; 15 AND BandwidthDirection expanding AND DonchianBreakout</w:t>
            </w:r>
          </w:p>
        </w:tc>
        <w:tc>
          <w:tcPr>
            <w:tcW w:type="dxa" w:w="3640"/>
            <w:vAlign w:val="center"/>
          </w:tcPr>
          <w:p>
            <w:pPr>
              <w:spacing w:after="120"/>
            </w:pPr>
            <w:r>
              <w:rPr>
                <w:rFonts w:ascii="Calibri" w:cs="Calibri" w:eastAsia="Calibri" w:hAnsi="Calibri"/>
                <w:sz w:val="20"/>
                <w:szCs w:val="20"/>
              </w:rPr>
              <w:t xml:space="preserve">Directional confirmation (+5 in direction of breakout)</w:t>
            </w:r>
          </w:p>
        </w:tc>
      </w:tr>
      <w:tr>
        <w:tc>
          <w:tcPr>
            <w:tcW w:type="dxa" w:w="2500"/>
            <w:vAlign w:val="center"/>
          </w:tcPr>
          <w:p>
            <w:pPr>
              <w:spacing w:after="120"/>
            </w:pPr>
            <w:r>
              <w:rPr>
                <w:rFonts w:ascii="Calibri" w:cs="Calibri" w:eastAsia="Calibri" w:hAnsi="Calibri"/>
                <w:sz w:val="20"/>
                <w:szCs w:val="20"/>
              </w:rPr>
              <w:t xml:space="preserve">ExhaustionReversal</w:t>
            </w:r>
          </w:p>
        </w:tc>
        <w:tc>
          <w:tcPr>
            <w:tcW w:type="dxa" w:w="3500"/>
            <w:vAlign w:val="center"/>
          </w:tcPr>
          <w:p>
            <w:pPr>
              <w:spacing w:after="120"/>
            </w:pPr>
            <w:r>
              <w:rPr>
                <w:rFonts w:ascii="Calibri" w:cs="Calibri" w:eastAsia="Calibri" w:hAnsi="Calibri"/>
                <w:sz w:val="20"/>
                <w:szCs w:val="20"/>
              </w:rPr>
              <w:t xml:space="preserve">AtrPercentile &gt; 90 AND RSI &gt; 75 (or &lt; 25) AND AtrAcceleration &lt; 0 (decelerating)</w:t>
            </w:r>
          </w:p>
        </w:tc>
        <w:tc>
          <w:tcPr>
            <w:tcW w:type="dxa" w:w="3640"/>
            <w:vAlign w:val="center"/>
          </w:tcPr>
          <w:p>
            <w:pPr>
              <w:spacing w:after="120"/>
            </w:pPr>
            <w:r>
              <w:rPr>
                <w:rFonts w:ascii="Calibri" w:cs="Calibri" w:eastAsia="Calibri" w:hAnsi="Calibri"/>
                <w:sz w:val="20"/>
                <w:szCs w:val="20"/>
              </w:rPr>
              <w:t xml:space="preserve">Counter-trend signal (+4 opposite to current trend)</w:t>
            </w:r>
          </w:p>
        </w:tc>
      </w:tr>
      <w:tr>
        <w:tc>
          <w:tcPr>
            <w:tcW w:type="dxa" w:w="2500"/>
            <w:vAlign w:val="center"/>
          </w:tcPr>
          <w:p>
            <w:pPr>
              <w:spacing w:after="120"/>
            </w:pPr>
            <w:r>
              <w:rPr>
                <w:rFonts w:ascii="Calibri" w:cs="Calibri" w:eastAsia="Calibri" w:hAnsi="Calibri"/>
                <w:sz w:val="20"/>
                <w:szCs w:val="20"/>
              </w:rPr>
              <w:t xml:space="preserve">MomentumContinuation</w:t>
            </w:r>
          </w:p>
        </w:tc>
        <w:tc>
          <w:tcPr>
            <w:tcW w:type="dxa" w:w="3500"/>
            <w:vAlign w:val="center"/>
          </w:tcPr>
          <w:p>
            <w:pPr>
              <w:spacing w:after="120"/>
            </w:pPr>
            <w:r>
              <w:rPr>
                <w:rFonts w:ascii="Calibri" w:cs="Calibri" w:eastAsia="Calibri" w:hAnsi="Calibri"/>
                <w:sz w:val="20"/>
                <w:szCs w:val="20"/>
              </w:rPr>
              <w:t xml:space="preserve">GapUp + VolumeRatio &gt; 2.0 + RSI 50-70 + AtrPercentile &gt; 70</w:t>
            </w:r>
          </w:p>
        </w:tc>
        <w:tc>
          <w:tcPr>
            <w:tcW w:type="dxa" w:w="3640"/>
            <w:vAlign w:val="center"/>
          </w:tcPr>
          <w:p>
            <w:pPr>
              <w:spacing w:after="120"/>
            </w:pPr>
            <w:r>
              <w:rPr>
                <w:rFonts w:ascii="Calibri" w:cs="Calibri" w:eastAsia="Calibri" w:hAnsi="Calibri"/>
                <w:sz w:val="20"/>
                <w:szCs w:val="20"/>
              </w:rPr>
              <w:t xml:space="preserve">Trend-following signal (+5 bull)</w:t>
            </w:r>
          </w:p>
        </w:tc>
      </w:tr>
      <w:tr>
        <w:tc>
          <w:tcPr>
            <w:tcW w:type="dxa" w:w="2500"/>
            <w:vAlign w:val="center"/>
          </w:tcPr>
          <w:p>
            <w:pPr>
              <w:spacing w:after="120"/>
            </w:pPr>
            <w:r>
              <w:rPr>
                <w:rFonts w:ascii="Calibri" w:cs="Calibri" w:eastAsia="Calibri" w:hAnsi="Calibri"/>
                <w:sz w:val="20"/>
                <w:szCs w:val="20"/>
              </w:rPr>
              <w:t xml:space="preserve">FailedBounce</w:t>
            </w:r>
          </w:p>
        </w:tc>
        <w:tc>
          <w:tcPr>
            <w:tcW w:type="dxa" w:w="3500"/>
            <w:vAlign w:val="center"/>
          </w:tcPr>
          <w:p>
            <w:pPr>
              <w:spacing w:after="120"/>
            </w:pPr>
            <w:r>
              <w:rPr>
                <w:rFonts w:ascii="Calibri" w:cs="Calibri" w:eastAsia="Calibri" w:hAnsi="Calibri"/>
                <w:sz w:val="20"/>
                <w:szCs w:val="20"/>
              </w:rPr>
              <w:t xml:space="preserve">Prior DipAfterPanic classified, but price failed to hold above lower BB within 2 bars</w:t>
            </w:r>
          </w:p>
        </w:tc>
        <w:tc>
          <w:tcPr>
            <w:tcW w:type="dxa" w:w="3640"/>
            <w:vAlign w:val="center"/>
          </w:tcPr>
          <w:p>
            <w:pPr>
              <w:spacing w:after="120"/>
            </w:pPr>
            <w:r>
              <w:rPr>
                <w:rFonts w:ascii="Calibri" w:cs="Calibri" w:eastAsia="Calibri" w:hAnsi="Calibri"/>
                <w:sz w:val="20"/>
                <w:szCs w:val="20"/>
              </w:rPr>
              <w:t xml:space="preserve">Risk amplifier (+5 bear, increases risk score)</w:t>
            </w:r>
          </w:p>
        </w:tc>
      </w:tr>
      <w:tr>
        <w:tc>
          <w:tcPr>
            <w:tcW w:type="dxa" w:w="2500"/>
            <w:vAlign w:val="center"/>
          </w:tcPr>
          <w:p>
            <w:pPr>
              <w:spacing w:after="120"/>
            </w:pPr>
            <w:r>
              <w:rPr>
                <w:rFonts w:ascii="Calibri" w:cs="Calibri" w:eastAsia="Calibri" w:hAnsi="Calibri"/>
                <w:sz w:val="20"/>
                <w:szCs w:val="20"/>
              </w:rPr>
              <w:t xml:space="preserve">VolatilityTrap</w:t>
            </w:r>
          </w:p>
        </w:tc>
        <w:tc>
          <w:tcPr>
            <w:tcW w:type="dxa" w:w="3500"/>
            <w:vAlign w:val="center"/>
          </w:tcPr>
          <w:p>
            <w:pPr>
              <w:spacing w:after="120"/>
            </w:pPr>
            <w:r>
              <w:rPr>
                <w:rFonts w:ascii="Calibri" w:cs="Calibri" w:eastAsia="Calibri" w:hAnsi="Calibri"/>
                <w:sz w:val="20"/>
                <w:szCs w:val="20"/>
              </w:rPr>
              <w:t xml:space="preserve">AtrPercentile &gt; 85 but VolumeRatio &lt; 1.0 (volatility without volume = thin market)</w:t>
            </w:r>
          </w:p>
        </w:tc>
        <w:tc>
          <w:tcPr>
            <w:tcW w:type="dxa" w:w="3640"/>
            <w:vAlign w:val="center"/>
          </w:tcPr>
          <w:p>
            <w:pPr>
              <w:spacing w:after="120"/>
            </w:pPr>
            <w:r>
              <w:rPr>
                <w:rFonts w:ascii="Calibri" w:cs="Calibri" w:eastAsia="Calibri" w:hAnsi="Calibri"/>
                <w:sz w:val="20"/>
                <w:szCs w:val="20"/>
              </w:rPr>
              <w:t xml:space="preserve">Risk amplifier (increases risk score by 10, caps confidence)</w:t>
            </w:r>
          </w:p>
        </w:tc>
      </w:tr>
      <w:tr>
        <w:tc>
          <w:tcPr>
            <w:tcW w:type="dxa" w:w="2500"/>
            <w:vAlign w:val="center"/>
          </w:tcPr>
          <w:p>
            <w:pPr>
              <w:spacing w:after="120"/>
            </w:pPr>
            <w:r>
              <w:rPr>
                <w:rFonts w:ascii="Calibri" w:cs="Calibri" w:eastAsia="Calibri" w:hAnsi="Calibri"/>
                <w:sz w:val="20"/>
                <w:szCs w:val="20"/>
              </w:rPr>
              <w:t xml:space="preserve">None</w:t>
            </w:r>
          </w:p>
        </w:tc>
        <w:tc>
          <w:tcPr>
            <w:tcW w:type="dxa" w:w="3500"/>
            <w:vAlign w:val="center"/>
          </w:tcPr>
          <w:p>
            <w:pPr>
              <w:spacing w:after="120"/>
            </w:pPr>
            <w:r>
              <w:rPr>
                <w:rFonts w:ascii="Calibri" w:cs="Calibri" w:eastAsia="Calibri" w:hAnsi="Calibri"/>
                <w:sz w:val="20"/>
                <w:szCs w:val="20"/>
              </w:rPr>
              <w:t xml:space="preserve">No pattern matches</w:t>
            </w:r>
          </w:p>
        </w:tc>
        <w:tc>
          <w:tcPr>
            <w:tcW w:type="dxa" w:w="3640"/>
            <w:vAlign w:val="center"/>
          </w:tcPr>
          <w:p>
            <w:pPr>
              <w:spacing w:after="120"/>
            </w:pPr>
            <w:r>
              <w:rPr>
                <w:rFonts w:ascii="Calibri" w:cs="Calibri" w:eastAsia="Calibri" w:hAnsi="Calibri"/>
                <w:sz w:val="20"/>
                <w:szCs w:val="20"/>
              </w:rPr>
              <w:t xml:space="preserve">No additional scoring impact</w:t>
            </w:r>
          </w:p>
        </w:tc>
      </w:tr>
    </w:tbl>
    <w:p>
      <w:pPr>
        <w:pStyle w:val="Heading2"/>
        <w:spacing w:after="120" w:before="240"/>
      </w:pPr>
      <w:r>
        <w:rPr>
          <w:rFonts w:ascii="Calibri" w:cs="Calibri" w:eastAsia="Calibri" w:hAnsi="Calibri"/>
          <w:b/>
          <w:bCs/>
          <w:sz w:val="22"/>
          <w:szCs w:val="22"/>
        </w:rPr>
        <w:t xml:space="preserve">4.5 Output</w:t>
      </w:r>
    </w:p>
    <w:p>
      <w:pPr>
        <w:spacing w:after="120"/>
      </w:pPr>
      <w:r>
        <w:rPr>
          <w:rFonts w:ascii="Calibri" w:cs="Calibri" w:eastAsia="Calibri" w:hAnsi="Calibri"/>
          <w:sz w:val="22"/>
          <w:szCs w:val="22"/>
        </w:rPr>
        <w:t xml:space="preserve">The VOE produces a VolatilityOpportunityAssessment record containing: all computed features (ATR percentile, gap data, bandwidth percentile, etc.), the classified opportunity type, a VolatilityOpportunityScore (0-100), and a risk modifier. This record is passed to ScoringEngine alongside the existing TechnicalIndicators and CatalystResult. The VolatilityEvaluator bucket uses this assessment instead of its current minimal Bollinger-only logic.</w:t>
      </w:r>
    </w:p>
    <w:p>
      <w:pPr>
        <w:pStyle w:val="Heading2"/>
        <w:spacing w:after="120" w:before="240"/>
      </w:pPr>
      <w:r>
        <w:rPr>
          <w:rFonts w:ascii="Calibri" w:cs="Calibri" w:eastAsia="Calibri" w:hAnsi="Calibri"/>
          <w:b/>
          <w:bCs/>
          <w:sz w:val="22"/>
          <w:szCs w:val="22"/>
        </w:rPr>
        <w:t xml:space="preserve">4.6 Database Tables</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4000"/>
        <w:gridCol w:w="5640"/>
      </w:tblGrid>
      <w:tr>
        <w:tc>
          <w:tcPr>
            <w:tcW w:type="dxa" w:w="4000"/>
            <w:shd w:fill="E8E8E8" w:val="clear"/>
            <w:vAlign w:val="center"/>
          </w:tcPr>
          <w:p>
            <w:pPr>
              <w:spacing w:after="120"/>
            </w:pPr>
            <w:r>
              <w:rPr>
                <w:rFonts w:ascii="Calibri" w:cs="Calibri" w:eastAsia="Calibri" w:hAnsi="Calibri"/>
                <w:b/>
                <w:bCs/>
                <w:sz w:val="20"/>
                <w:szCs w:val="20"/>
              </w:rPr>
              <w:t xml:space="preserve">Table</w:t>
            </w:r>
          </w:p>
        </w:tc>
        <w:tc>
          <w:tcPr>
            <w:tcW w:type="dxa" w:w="5640"/>
            <w:shd w:fill="E8E8E8" w:val="clear"/>
            <w:vAlign w:val="center"/>
          </w:tcPr>
          <w:p>
            <w:pPr>
              <w:spacing w:after="120"/>
            </w:pPr>
            <w:r>
              <w:rPr>
                <w:rFonts w:ascii="Calibri" w:cs="Calibri" w:eastAsia="Calibri" w:hAnsi="Calibri"/>
                <w:sz w:val="20"/>
                <w:szCs w:val="20"/>
              </w:rPr>
              <w:t xml:space="preserve">Purpose</w:t>
            </w:r>
          </w:p>
        </w:tc>
      </w:tr>
      <w:tr>
        <w:tc>
          <w:tcPr>
            <w:tcW w:type="dxa" w:w="4000"/>
            <w:vAlign w:val="center"/>
          </w:tcPr>
          <w:p>
            <w:pPr>
              <w:spacing w:after="120"/>
            </w:pPr>
            <w:r>
              <w:rPr>
                <w:rFonts w:ascii="Calibri" w:cs="Calibri" w:eastAsia="Calibri" w:hAnsi="Calibri"/>
                <w:sz w:val="20"/>
                <w:szCs w:val="20"/>
              </w:rPr>
              <w:t xml:space="preserve">volatility_assessments</w:t>
            </w:r>
          </w:p>
        </w:tc>
        <w:tc>
          <w:tcPr>
            <w:tcW w:type="dxa" w:w="5640"/>
            <w:vAlign w:val="center"/>
          </w:tcPr>
          <w:p>
            <w:pPr>
              <w:spacing w:after="120"/>
            </w:pPr>
            <w:r>
              <w:rPr>
                <w:rFonts w:ascii="Calibri" w:cs="Calibri" w:eastAsia="Calibri" w:hAnsi="Calibri"/>
                <w:sz w:val="20"/>
                <w:szCs w:val="20"/>
              </w:rPr>
              <w:t xml:space="preserve">Per-ticker-per-scan volatility context snapshot. Fields: ticker, run_id, atr_percentile, atr_acceleration, bandwidth_percentile, bandwidth_direction, stock_vol_regime, gap_percent, gap_type, gap_with_volume, distance_from_support, distance_from_resistance, volume_persistence, bounce_quality, catalyst_age_hours, opportunity_type, opportunity_score, risk_modifier, created_at.</w:t>
            </w:r>
          </w:p>
        </w:tc>
      </w:tr>
      <w:tr>
        <w:tc>
          <w:tcPr>
            <w:tcW w:type="dxa" w:w="4000"/>
            <w:vAlign w:val="center"/>
          </w:tcPr>
          <w:p>
            <w:pPr>
              <w:spacing w:after="120"/>
            </w:pPr>
            <w:r>
              <w:rPr>
                <w:rFonts w:ascii="Calibri" w:cs="Calibri" w:eastAsia="Calibri" w:hAnsi="Calibri"/>
                <w:sz w:val="20"/>
                <w:szCs w:val="20"/>
              </w:rPr>
              <w:t xml:space="preserve">volatility_learning_stats</w:t>
            </w:r>
          </w:p>
        </w:tc>
        <w:tc>
          <w:tcPr>
            <w:tcW w:type="dxa" w:w="5640"/>
            <w:vAlign w:val="center"/>
          </w:tcPr>
          <w:p>
            <w:pPr>
              <w:spacing w:after="120"/>
            </w:pPr>
            <w:r>
              <w:rPr>
                <w:rFonts w:ascii="Calibri" w:cs="Calibri" w:eastAsia="Calibri" w:hAnsi="Calibri"/>
                <w:sz w:val="20"/>
                <w:szCs w:val="20"/>
              </w:rPr>
              <w:t xml:space="preserve">Aggregated performance by opportunity type. Fields: opportunity_type, stock_vol_regime, market_regime, sample_size, win_rate, avg_win_percent, avg_loss_percent, expected_value, avg_confidence, avg_risk, is_trusted, created_at, updated_at.</w:t>
            </w:r>
          </w:p>
        </w:tc>
      </w:tr>
    </w:tbl>
    <w:p>
      <w:pPr>
        <w:pStyle w:val="Heading2"/>
        <w:spacing w:after="120" w:before="240"/>
      </w:pPr>
      <w:r>
        <w:rPr>
          <w:rFonts w:ascii="Calibri" w:cs="Calibri" w:eastAsia="Calibri" w:hAnsi="Calibri"/>
          <w:b/>
          <w:bCs/>
          <w:sz w:val="22"/>
          <w:szCs w:val="22"/>
        </w:rPr>
        <w:t xml:space="preserve">4.7 What This Is NOT</w:t>
      </w:r>
    </w:p>
    <w:p>
      <w:pPr>
        <w:spacing w:after="120"/>
      </w:pPr>
      <w:r>
        <w:rPr>
          <w:rFonts w:ascii="Calibri" w:cs="Calibri" w:eastAsia="Calibri" w:hAnsi="Calibri"/>
          <w:sz w:val="22"/>
          <w:szCs w:val="22"/>
        </w:rPr>
        <w:t xml:space="preserve">The VOE does not generate predictions. It does not generate trade signals. It does not use ML. It does not replace the Scoring Engine, Prediction Engine, or TradeSetupEngine. It is a feature enrichment layer that makes the existing VolatilityEvaluator smarter by giving it per-stock volatility context instead of just Bollinger bandwidth.</w:t>
      </w:r>
    </w:p>
    <w:p>
      <w:r>
        <w:br w:type="page"/>
      </w:r>
    </w:p>
    <w:p>
      <w:pPr>
        <w:pStyle w:val="Heading1"/>
        <w:spacing w:after="120" w:before="240"/>
      </w:pPr>
      <w:r>
        <w:rPr>
          <w:rFonts w:ascii="Calibri" w:cs="Calibri" w:eastAsia="Calibri" w:hAnsi="Calibri"/>
          <w:b/>
          <w:bCs/>
          <w:sz w:val="22"/>
          <w:szCs w:val="22"/>
        </w:rPr>
        <w:t xml:space="preserve">Phase 5 — Learning Architecture</w:t>
      </w:r>
    </w:p>
    <w:p>
      <w:pPr>
        <w:pStyle w:val="Heading2"/>
        <w:spacing w:after="120" w:before="240"/>
      </w:pPr>
      <w:r>
        <w:rPr>
          <w:rFonts w:ascii="Calibri" w:cs="Calibri" w:eastAsia="Calibri" w:hAnsi="Calibri"/>
          <w:b/>
          <w:bCs/>
          <w:sz w:val="22"/>
          <w:szCs w:val="22"/>
        </w:rPr>
        <w:t xml:space="preserve">5.1 What to Track</w:t>
      </w:r>
    </w:p>
    <w:p>
      <w:pPr>
        <w:spacing w:after="120"/>
      </w:pPr>
      <w:r>
        <w:rPr>
          <w:rFonts w:ascii="Calibri" w:cs="Calibri" w:eastAsia="Calibri" w:hAnsi="Calibri"/>
          <w:sz w:val="22"/>
          <w:szCs w:val="22"/>
        </w:rPr>
        <w:t xml:space="preserve">Every prediction that has a volatility_assessment attached gets additional outcome dimensions tracked during EOD evaluation:</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2500"/>
        <w:gridCol w:w="3500"/>
        <w:gridCol w:w="3640"/>
      </w:tblGrid>
      <w:tr>
        <w:tc>
          <w:tcPr>
            <w:tcW w:type="dxa" w:w="2500"/>
            <w:shd w:fill="E8E8E8" w:val="clear"/>
            <w:vAlign w:val="center"/>
          </w:tcPr>
          <w:p>
            <w:pPr>
              <w:spacing w:after="120"/>
            </w:pPr>
            <w:r>
              <w:rPr>
                <w:rFonts w:ascii="Calibri" w:cs="Calibri" w:eastAsia="Calibri" w:hAnsi="Calibri"/>
                <w:b/>
                <w:bCs/>
                <w:sz w:val="20"/>
                <w:szCs w:val="20"/>
              </w:rPr>
              <w:t xml:space="preserve">Metric</w:t>
            </w:r>
          </w:p>
        </w:tc>
        <w:tc>
          <w:tcPr>
            <w:tcW w:type="dxa" w:w="3500"/>
            <w:shd w:fill="E8E8E8" w:val="clear"/>
            <w:vAlign w:val="center"/>
          </w:tcPr>
          <w:p>
            <w:pPr>
              <w:spacing w:after="120"/>
            </w:pPr>
            <w:r>
              <w:rPr>
                <w:rFonts w:ascii="Calibri" w:cs="Calibri" w:eastAsia="Calibri" w:hAnsi="Calibri"/>
                <w:sz w:val="20"/>
                <w:szCs w:val="20"/>
              </w:rPr>
              <w:t xml:space="preserve">Source</w:t>
            </w:r>
          </w:p>
        </w:tc>
        <w:tc>
          <w:tcPr>
            <w:tcW w:type="dxa" w:w="3640"/>
            <w:shd w:fill="E8E8E8" w:val="clear"/>
            <w:vAlign w:val="center"/>
          </w:tcPr>
          <w:p>
            <w:pPr>
              <w:spacing w:after="120"/>
            </w:pPr>
            <w:r>
              <w:rPr>
                <w:rFonts w:ascii="Calibri" w:cs="Calibri" w:eastAsia="Calibri" w:hAnsi="Calibri"/>
                <w:sz w:val="20"/>
                <w:szCs w:val="20"/>
              </w:rPr>
              <w:t xml:space="preserve">Purpose</w:t>
            </w:r>
          </w:p>
        </w:tc>
      </w:tr>
      <w:tr>
        <w:tc>
          <w:tcPr>
            <w:tcW w:type="dxa" w:w="2500"/>
            <w:vAlign w:val="center"/>
          </w:tcPr>
          <w:p>
            <w:pPr>
              <w:spacing w:after="120"/>
            </w:pPr>
            <w:r>
              <w:rPr>
                <w:rFonts w:ascii="Calibri" w:cs="Calibri" w:eastAsia="Calibri" w:hAnsi="Calibri"/>
                <w:sz w:val="20"/>
                <w:szCs w:val="20"/>
              </w:rPr>
              <w:t xml:space="preserve">opportunity_type</w:t>
            </w:r>
          </w:p>
        </w:tc>
        <w:tc>
          <w:tcPr>
            <w:tcW w:type="dxa" w:w="3500"/>
            <w:vAlign w:val="center"/>
          </w:tcPr>
          <w:p>
            <w:pPr>
              <w:spacing w:after="120"/>
            </w:pPr>
            <w:r>
              <w:rPr>
                <w:rFonts w:ascii="Calibri" w:cs="Calibri" w:eastAsia="Calibri" w:hAnsi="Calibri"/>
                <w:sz w:val="20"/>
                <w:szCs w:val="20"/>
              </w:rPr>
              <w:t xml:space="preserve">VOE assessment at prediction time</w:t>
            </w:r>
          </w:p>
        </w:tc>
        <w:tc>
          <w:tcPr>
            <w:tcW w:type="dxa" w:w="3640"/>
            <w:vAlign w:val="center"/>
          </w:tcPr>
          <w:p>
            <w:pPr>
              <w:spacing w:after="120"/>
            </w:pPr>
            <w:r>
              <w:rPr>
                <w:rFonts w:ascii="Calibri" w:cs="Calibri" w:eastAsia="Calibri" w:hAnsi="Calibri"/>
                <w:sz w:val="20"/>
                <w:szCs w:val="20"/>
              </w:rPr>
              <w:t xml:space="preserve">Primary bucketing dimension for learning</w:t>
            </w:r>
          </w:p>
        </w:tc>
      </w:tr>
      <w:tr>
        <w:tc>
          <w:tcPr>
            <w:tcW w:type="dxa" w:w="2500"/>
            <w:vAlign w:val="center"/>
          </w:tcPr>
          <w:p>
            <w:pPr>
              <w:spacing w:after="120"/>
            </w:pPr>
            <w:r>
              <w:rPr>
                <w:rFonts w:ascii="Calibri" w:cs="Calibri" w:eastAsia="Calibri" w:hAnsi="Calibri"/>
                <w:sz w:val="20"/>
                <w:szCs w:val="20"/>
              </w:rPr>
              <w:t xml:space="preserve">stock_vol_regime</w:t>
            </w:r>
          </w:p>
        </w:tc>
        <w:tc>
          <w:tcPr>
            <w:tcW w:type="dxa" w:w="3500"/>
            <w:vAlign w:val="center"/>
          </w:tcPr>
          <w:p>
            <w:pPr>
              <w:spacing w:after="120"/>
            </w:pPr>
            <w:r>
              <w:rPr>
                <w:rFonts w:ascii="Calibri" w:cs="Calibri" w:eastAsia="Calibri" w:hAnsi="Calibri"/>
                <w:sz w:val="20"/>
                <w:szCs w:val="20"/>
              </w:rPr>
              <w:t xml:space="preserve">VOE assessment</w:t>
            </w:r>
          </w:p>
        </w:tc>
        <w:tc>
          <w:tcPr>
            <w:tcW w:type="dxa" w:w="3640"/>
            <w:vAlign w:val="center"/>
          </w:tcPr>
          <w:p>
            <w:pPr>
              <w:spacing w:after="120"/>
            </w:pPr>
            <w:r>
              <w:rPr>
                <w:rFonts w:ascii="Calibri" w:cs="Calibri" w:eastAsia="Calibri" w:hAnsi="Calibri"/>
                <w:sz w:val="20"/>
                <w:szCs w:val="20"/>
              </w:rPr>
              <w:t xml:space="preserve">Was the stock in squeeze/normal/expanding/extreme?</w:t>
            </w:r>
          </w:p>
        </w:tc>
      </w:tr>
      <w:tr>
        <w:tc>
          <w:tcPr>
            <w:tcW w:type="dxa" w:w="2500"/>
            <w:vAlign w:val="center"/>
          </w:tcPr>
          <w:p>
            <w:pPr>
              <w:spacing w:after="120"/>
            </w:pPr>
            <w:r>
              <w:rPr>
                <w:rFonts w:ascii="Calibri" w:cs="Calibri" w:eastAsia="Calibri" w:hAnsi="Calibri"/>
                <w:sz w:val="20"/>
                <w:szCs w:val="20"/>
              </w:rPr>
              <w:t xml:space="preserve">market_regime</w:t>
            </w:r>
          </w:p>
        </w:tc>
        <w:tc>
          <w:tcPr>
            <w:tcW w:type="dxa" w:w="3500"/>
            <w:vAlign w:val="center"/>
          </w:tcPr>
          <w:p>
            <w:pPr>
              <w:spacing w:after="120"/>
            </w:pPr>
            <w:r>
              <w:rPr>
                <w:rFonts w:ascii="Calibri" w:cs="Calibri" w:eastAsia="Calibri" w:hAnsi="Calibri"/>
                <w:sz w:val="20"/>
                <w:szCs w:val="20"/>
              </w:rPr>
              <w:t xml:space="preserve">MarketRegimeEngine</w:t>
            </w:r>
          </w:p>
        </w:tc>
        <w:tc>
          <w:tcPr>
            <w:tcW w:type="dxa" w:w="3640"/>
            <w:vAlign w:val="center"/>
          </w:tcPr>
          <w:p>
            <w:pPr>
              <w:spacing w:after="120"/>
            </w:pPr>
            <w:r>
              <w:rPr>
                <w:rFonts w:ascii="Calibri" w:cs="Calibri" w:eastAsia="Calibri" w:hAnsi="Calibri"/>
                <w:sz w:val="20"/>
                <w:szCs w:val="20"/>
              </w:rPr>
              <w:t xml:space="preserve">Was the market bullish/volatile/crisis?</w:t>
            </w:r>
          </w:p>
        </w:tc>
      </w:tr>
      <w:tr>
        <w:tc>
          <w:tcPr>
            <w:tcW w:type="dxa" w:w="2500"/>
            <w:vAlign w:val="center"/>
          </w:tcPr>
          <w:p>
            <w:pPr>
              <w:spacing w:after="120"/>
            </w:pPr>
            <w:r>
              <w:rPr>
                <w:rFonts w:ascii="Calibri" w:cs="Calibri" w:eastAsia="Calibri" w:hAnsi="Calibri"/>
                <w:sz w:val="20"/>
                <w:szCs w:val="20"/>
              </w:rPr>
              <w:t xml:space="preserve">atr_percentile_at_entry</w:t>
            </w:r>
          </w:p>
        </w:tc>
        <w:tc>
          <w:tcPr>
            <w:tcW w:type="dxa" w:w="3500"/>
            <w:vAlign w:val="center"/>
          </w:tcPr>
          <w:p>
            <w:pPr>
              <w:spacing w:after="120"/>
            </w:pPr>
            <w:r>
              <w:rPr>
                <w:rFonts w:ascii="Calibri" w:cs="Calibri" w:eastAsia="Calibri" w:hAnsi="Calibri"/>
                <w:sz w:val="20"/>
                <w:szCs w:val="20"/>
              </w:rPr>
              <w:t xml:space="preserve">VOE assessment</w:t>
            </w:r>
          </w:p>
        </w:tc>
        <w:tc>
          <w:tcPr>
            <w:tcW w:type="dxa" w:w="3640"/>
            <w:vAlign w:val="center"/>
          </w:tcPr>
          <w:p>
            <w:pPr>
              <w:spacing w:after="120"/>
            </w:pPr>
            <w:r>
              <w:rPr>
                <w:rFonts w:ascii="Calibri" w:cs="Calibri" w:eastAsia="Calibri" w:hAnsi="Calibri"/>
                <w:sz w:val="20"/>
                <w:szCs w:val="20"/>
              </w:rPr>
              <w:t xml:space="preserve">Volatility context at entry</w:t>
            </w:r>
          </w:p>
        </w:tc>
      </w:tr>
      <w:tr>
        <w:tc>
          <w:tcPr>
            <w:tcW w:type="dxa" w:w="2500"/>
            <w:vAlign w:val="center"/>
          </w:tcPr>
          <w:p>
            <w:pPr>
              <w:spacing w:after="120"/>
            </w:pPr>
            <w:r>
              <w:rPr>
                <w:rFonts w:ascii="Calibri" w:cs="Calibri" w:eastAsia="Calibri" w:hAnsi="Calibri"/>
                <w:sz w:val="20"/>
                <w:szCs w:val="20"/>
              </w:rPr>
              <w:t xml:space="preserve">gap_type_at_entry</w:t>
            </w:r>
          </w:p>
        </w:tc>
        <w:tc>
          <w:tcPr>
            <w:tcW w:type="dxa" w:w="3500"/>
            <w:vAlign w:val="center"/>
          </w:tcPr>
          <w:p>
            <w:pPr>
              <w:spacing w:after="120"/>
            </w:pPr>
            <w:r>
              <w:rPr>
                <w:rFonts w:ascii="Calibri" w:cs="Calibri" w:eastAsia="Calibri" w:hAnsi="Calibri"/>
                <w:sz w:val="20"/>
                <w:szCs w:val="20"/>
              </w:rPr>
              <w:t xml:space="preserve">VOE assessment</w:t>
            </w:r>
          </w:p>
        </w:tc>
        <w:tc>
          <w:tcPr>
            <w:tcW w:type="dxa" w:w="3640"/>
            <w:vAlign w:val="center"/>
          </w:tcPr>
          <w:p>
            <w:pPr>
              <w:spacing w:after="120"/>
            </w:pPr>
            <w:r>
              <w:rPr>
                <w:rFonts w:ascii="Calibri" w:cs="Calibri" w:eastAsia="Calibri" w:hAnsi="Calibri"/>
                <w:sz w:val="20"/>
                <w:szCs w:val="20"/>
              </w:rPr>
              <w:t xml:space="preserve">Was there a gap? What kind?</w:t>
            </w:r>
          </w:p>
        </w:tc>
      </w:tr>
      <w:tr>
        <w:tc>
          <w:tcPr>
            <w:tcW w:type="dxa" w:w="2500"/>
            <w:vAlign w:val="center"/>
          </w:tcPr>
          <w:p>
            <w:pPr>
              <w:spacing w:after="120"/>
            </w:pPr>
            <w:r>
              <w:rPr>
                <w:rFonts w:ascii="Calibri" w:cs="Calibri" w:eastAsia="Calibri" w:hAnsi="Calibri"/>
                <w:sz w:val="20"/>
                <w:szCs w:val="20"/>
              </w:rPr>
              <w:t xml:space="preserve">catalyst_type</w:t>
            </w:r>
          </w:p>
        </w:tc>
        <w:tc>
          <w:tcPr>
            <w:tcW w:type="dxa" w:w="3500"/>
            <w:vAlign w:val="center"/>
          </w:tcPr>
          <w:p>
            <w:pPr>
              <w:spacing w:after="120"/>
            </w:pPr>
            <w:r>
              <w:rPr>
                <w:rFonts w:ascii="Calibri" w:cs="Calibri" w:eastAsia="Calibri" w:hAnsi="Calibri"/>
                <w:sz w:val="20"/>
                <w:szCs w:val="20"/>
              </w:rPr>
              <w:t xml:space="preserve">CatalystEvaluator</w:t>
            </w:r>
          </w:p>
        </w:tc>
        <w:tc>
          <w:tcPr>
            <w:tcW w:type="dxa" w:w="3640"/>
            <w:vAlign w:val="center"/>
          </w:tcPr>
          <w:p>
            <w:pPr>
              <w:spacing w:after="120"/>
            </w:pPr>
            <w:r>
              <w:rPr>
                <w:rFonts w:ascii="Calibri" w:cs="Calibri" w:eastAsia="Calibri" w:hAnsi="Calibri"/>
                <w:sz w:val="20"/>
                <w:szCs w:val="20"/>
              </w:rPr>
              <w:t xml:space="preserve">What drove the move?</w:t>
            </w:r>
          </w:p>
        </w:tc>
      </w:tr>
      <w:tr>
        <w:tc>
          <w:tcPr>
            <w:tcW w:type="dxa" w:w="2500"/>
            <w:vAlign w:val="center"/>
          </w:tcPr>
          <w:p>
            <w:pPr>
              <w:spacing w:after="120"/>
            </w:pPr>
            <w:r>
              <w:rPr>
                <w:rFonts w:ascii="Calibri" w:cs="Calibri" w:eastAsia="Calibri" w:hAnsi="Calibri"/>
                <w:sz w:val="20"/>
                <w:szCs w:val="20"/>
              </w:rPr>
              <w:t xml:space="preserve">confidence_at_entry</w:t>
            </w:r>
          </w:p>
        </w:tc>
        <w:tc>
          <w:tcPr>
            <w:tcW w:type="dxa" w:w="3500"/>
            <w:vAlign w:val="center"/>
          </w:tcPr>
          <w:p>
            <w:pPr>
              <w:spacing w:after="120"/>
            </w:pPr>
            <w:r>
              <w:rPr>
                <w:rFonts w:ascii="Calibri" w:cs="Calibri" w:eastAsia="Calibri" w:hAnsi="Calibri"/>
                <w:sz w:val="20"/>
                <w:szCs w:val="20"/>
              </w:rPr>
              <w:t xml:space="preserve">Prediction</w:t>
            </w:r>
          </w:p>
        </w:tc>
        <w:tc>
          <w:tcPr>
            <w:tcW w:type="dxa" w:w="3640"/>
            <w:vAlign w:val="center"/>
          </w:tcPr>
          <w:p>
            <w:pPr>
              <w:spacing w:after="120"/>
            </w:pPr>
            <w:r>
              <w:rPr>
                <w:rFonts w:ascii="Calibri" w:cs="Calibri" w:eastAsia="Calibri" w:hAnsi="Calibri"/>
                <w:sz w:val="20"/>
                <w:szCs w:val="20"/>
              </w:rPr>
              <w:t xml:space="preserve">How confident was the system?</w:t>
            </w:r>
          </w:p>
        </w:tc>
      </w:tr>
      <w:tr>
        <w:tc>
          <w:tcPr>
            <w:tcW w:type="dxa" w:w="2500"/>
            <w:vAlign w:val="center"/>
          </w:tcPr>
          <w:p>
            <w:pPr>
              <w:spacing w:after="120"/>
            </w:pPr>
            <w:r>
              <w:rPr>
                <w:rFonts w:ascii="Calibri" w:cs="Calibri" w:eastAsia="Calibri" w:hAnsi="Calibri"/>
                <w:sz w:val="20"/>
                <w:szCs w:val="20"/>
              </w:rPr>
              <w:t xml:space="preserve">max_favorable_excursion</w:t>
            </w:r>
          </w:p>
        </w:tc>
        <w:tc>
          <w:tcPr>
            <w:tcW w:type="dxa" w:w="3500"/>
            <w:vAlign w:val="center"/>
          </w:tcPr>
          <w:p>
            <w:pPr>
              <w:spacing w:after="120"/>
            </w:pPr>
            <w:r>
              <w:rPr>
                <w:rFonts w:ascii="Calibri" w:cs="Calibri" w:eastAsia="Calibri" w:hAnsi="Calibri"/>
                <w:sz w:val="20"/>
                <w:szCs w:val="20"/>
              </w:rPr>
              <w:t xml:space="preserve">OutcomeEvaluator (EXISTS)</w:t>
            </w:r>
          </w:p>
        </w:tc>
        <w:tc>
          <w:tcPr>
            <w:tcW w:type="dxa" w:w="3640"/>
            <w:vAlign w:val="center"/>
          </w:tcPr>
          <w:p>
            <w:pPr>
              <w:spacing w:after="120"/>
            </w:pPr>
            <w:r>
              <w:rPr>
                <w:rFonts w:ascii="Calibri" w:cs="Calibri" w:eastAsia="Calibri" w:hAnsi="Calibri"/>
                <w:sz w:val="20"/>
                <w:szCs w:val="20"/>
              </w:rPr>
              <w:t xml:space="preserve">Best case during holding period</w:t>
            </w:r>
          </w:p>
        </w:tc>
      </w:tr>
      <w:tr>
        <w:tc>
          <w:tcPr>
            <w:tcW w:type="dxa" w:w="2500"/>
            <w:vAlign w:val="center"/>
          </w:tcPr>
          <w:p>
            <w:pPr>
              <w:spacing w:after="120"/>
            </w:pPr>
            <w:r>
              <w:rPr>
                <w:rFonts w:ascii="Calibri" w:cs="Calibri" w:eastAsia="Calibri" w:hAnsi="Calibri"/>
                <w:sz w:val="20"/>
                <w:szCs w:val="20"/>
              </w:rPr>
              <w:t xml:space="preserve">max_adverse_excursion</w:t>
            </w:r>
          </w:p>
        </w:tc>
        <w:tc>
          <w:tcPr>
            <w:tcW w:type="dxa" w:w="3500"/>
            <w:vAlign w:val="center"/>
          </w:tcPr>
          <w:p>
            <w:pPr>
              <w:spacing w:after="120"/>
            </w:pPr>
            <w:r>
              <w:rPr>
                <w:rFonts w:ascii="Calibri" w:cs="Calibri" w:eastAsia="Calibri" w:hAnsi="Calibri"/>
                <w:sz w:val="20"/>
                <w:szCs w:val="20"/>
              </w:rPr>
              <w:t xml:space="preserve">OutcomeEvaluator (EXISTS)</w:t>
            </w:r>
          </w:p>
        </w:tc>
        <w:tc>
          <w:tcPr>
            <w:tcW w:type="dxa" w:w="3640"/>
            <w:vAlign w:val="center"/>
          </w:tcPr>
          <w:p>
            <w:pPr>
              <w:spacing w:after="120"/>
            </w:pPr>
            <w:r>
              <w:rPr>
                <w:rFonts w:ascii="Calibri" w:cs="Calibri" w:eastAsia="Calibri" w:hAnsi="Calibri"/>
                <w:sz w:val="20"/>
                <w:szCs w:val="20"/>
              </w:rPr>
              <w:t xml:space="preserve">Worst case during holding period</w:t>
            </w:r>
          </w:p>
        </w:tc>
      </w:tr>
      <w:tr>
        <w:tc>
          <w:tcPr>
            <w:tcW w:type="dxa" w:w="2500"/>
            <w:vAlign w:val="center"/>
          </w:tcPr>
          <w:p>
            <w:pPr>
              <w:spacing w:after="120"/>
            </w:pPr>
            <w:r>
              <w:rPr>
                <w:rFonts w:ascii="Calibri" w:cs="Calibri" w:eastAsia="Calibri" w:hAnsi="Calibri"/>
                <w:sz w:val="20"/>
                <w:szCs w:val="20"/>
              </w:rPr>
              <w:t xml:space="preserve">time_to_5pct_recovery</w:t>
            </w:r>
          </w:p>
        </w:tc>
        <w:tc>
          <w:tcPr>
            <w:tcW w:type="dxa" w:w="3500"/>
            <w:vAlign w:val="center"/>
          </w:tcPr>
          <w:p>
            <w:pPr>
              <w:spacing w:after="120"/>
            </w:pPr>
            <w:r>
              <w:rPr>
                <w:rFonts w:ascii="Calibri" w:cs="Calibri" w:eastAsia="Calibri" w:hAnsi="Calibri"/>
                <w:sz w:val="20"/>
                <w:szCs w:val="20"/>
              </w:rPr>
              <w:t xml:space="preserve">NEW — computed during outcome eval</w:t>
            </w:r>
          </w:p>
        </w:tc>
        <w:tc>
          <w:tcPr>
            <w:tcW w:type="dxa" w:w="3640"/>
            <w:vAlign w:val="center"/>
          </w:tcPr>
          <w:p>
            <w:pPr>
              <w:spacing w:after="120"/>
            </w:pPr>
            <w:r>
              <w:rPr>
                <w:rFonts w:ascii="Calibri" w:cs="Calibri" w:eastAsia="Calibri" w:hAnsi="Calibri"/>
                <w:sz w:val="20"/>
                <w:szCs w:val="20"/>
              </w:rPr>
              <w:t xml:space="preserve">How quickly did a 5% move occur?</w:t>
            </w:r>
          </w:p>
        </w:tc>
      </w:tr>
      <w:tr>
        <w:tc>
          <w:tcPr>
            <w:tcW w:type="dxa" w:w="2500"/>
            <w:vAlign w:val="center"/>
          </w:tcPr>
          <w:p>
            <w:pPr>
              <w:spacing w:after="120"/>
            </w:pPr>
            <w:r>
              <w:rPr>
                <w:rFonts w:ascii="Calibri" w:cs="Calibri" w:eastAsia="Calibri" w:hAnsi="Calibri"/>
                <w:sz w:val="20"/>
                <w:szCs w:val="20"/>
              </w:rPr>
              <w:t xml:space="preserve">time_to_target</w:t>
            </w:r>
          </w:p>
        </w:tc>
        <w:tc>
          <w:tcPr>
            <w:tcW w:type="dxa" w:w="3500"/>
            <w:vAlign w:val="center"/>
          </w:tcPr>
          <w:p>
            <w:pPr>
              <w:spacing w:after="120"/>
            </w:pPr>
            <w:r>
              <w:rPr>
                <w:rFonts w:ascii="Calibri" w:cs="Calibri" w:eastAsia="Calibri" w:hAnsi="Calibri"/>
                <w:sz w:val="20"/>
                <w:szCs w:val="20"/>
              </w:rPr>
              <w:t xml:space="preserve">NEW — computed during outcome eval</w:t>
            </w:r>
          </w:p>
        </w:tc>
        <w:tc>
          <w:tcPr>
            <w:tcW w:type="dxa" w:w="3640"/>
            <w:vAlign w:val="center"/>
          </w:tcPr>
          <w:p>
            <w:pPr>
              <w:spacing w:after="120"/>
            </w:pPr>
            <w:r>
              <w:rPr>
                <w:rFonts w:ascii="Calibri" w:cs="Calibri" w:eastAsia="Calibri" w:hAnsi="Calibri"/>
                <w:sz w:val="20"/>
                <w:szCs w:val="20"/>
              </w:rPr>
              <w:t xml:space="preserve">Bars to hit target price</w:t>
            </w:r>
          </w:p>
        </w:tc>
      </w:tr>
      <w:tr>
        <w:tc>
          <w:tcPr>
            <w:tcW w:type="dxa" w:w="2500"/>
            <w:vAlign w:val="center"/>
          </w:tcPr>
          <w:p>
            <w:pPr>
              <w:spacing w:after="120"/>
            </w:pPr>
            <w:r>
              <w:rPr>
                <w:rFonts w:ascii="Calibri" w:cs="Calibri" w:eastAsia="Calibri" w:hAnsi="Calibri"/>
                <w:sz w:val="20"/>
                <w:szCs w:val="20"/>
              </w:rPr>
              <w:t xml:space="preserve">bounce_quality_realized</w:t>
            </w:r>
          </w:p>
        </w:tc>
        <w:tc>
          <w:tcPr>
            <w:tcW w:type="dxa" w:w="3500"/>
            <w:vAlign w:val="center"/>
          </w:tcPr>
          <w:p>
            <w:pPr>
              <w:spacing w:after="120"/>
            </w:pPr>
            <w:r>
              <w:rPr>
                <w:rFonts w:ascii="Calibri" w:cs="Calibri" w:eastAsia="Calibri" w:hAnsi="Calibri"/>
                <w:sz w:val="20"/>
                <w:szCs w:val="20"/>
              </w:rPr>
              <w:t xml:space="preserve">NEW — actual recovery speed vs predicted</w:t>
            </w:r>
          </w:p>
        </w:tc>
        <w:tc>
          <w:tcPr>
            <w:tcW w:type="dxa" w:w="3640"/>
            <w:vAlign w:val="center"/>
          </w:tcPr>
          <w:p>
            <w:pPr>
              <w:spacing w:after="120"/>
            </w:pPr>
            <w:r>
              <w:rPr>
                <w:rFonts w:ascii="Calibri" w:cs="Calibri" w:eastAsia="Calibri" w:hAnsi="Calibri"/>
                <w:sz w:val="20"/>
                <w:szCs w:val="20"/>
              </w:rPr>
              <w:t xml:space="preserve">Did the bounce happen as expected?</w:t>
            </w:r>
          </w:p>
        </w:tc>
      </w:tr>
      <w:tr>
        <w:tc>
          <w:tcPr>
            <w:tcW w:type="dxa" w:w="2500"/>
            <w:vAlign w:val="center"/>
          </w:tcPr>
          <w:p>
            <w:pPr>
              <w:spacing w:after="120"/>
            </w:pPr>
            <w:r>
              <w:rPr>
                <w:rFonts w:ascii="Calibri" w:cs="Calibri" w:eastAsia="Calibri" w:hAnsi="Calibri"/>
                <w:sz w:val="20"/>
                <w:szCs w:val="20"/>
              </w:rPr>
              <w:t xml:space="preserve">holding_period_bars</w:t>
            </w:r>
          </w:p>
        </w:tc>
        <w:tc>
          <w:tcPr>
            <w:tcW w:type="dxa" w:w="3500"/>
            <w:vAlign w:val="center"/>
          </w:tcPr>
          <w:p>
            <w:pPr>
              <w:spacing w:after="120"/>
            </w:pPr>
            <w:r>
              <w:rPr>
                <w:rFonts w:ascii="Calibri" w:cs="Calibri" w:eastAsia="Calibri" w:hAnsi="Calibri"/>
                <w:sz w:val="20"/>
                <w:szCs w:val="20"/>
              </w:rPr>
              <w:t xml:space="preserve">OutcomeEvaluator (EXISTS)</w:t>
            </w:r>
          </w:p>
        </w:tc>
        <w:tc>
          <w:tcPr>
            <w:tcW w:type="dxa" w:w="3640"/>
            <w:vAlign w:val="center"/>
          </w:tcPr>
          <w:p>
            <w:pPr>
              <w:spacing w:after="120"/>
            </w:pPr>
            <w:r>
              <w:rPr>
                <w:rFonts w:ascii="Calibri" w:cs="Calibri" w:eastAsia="Calibri" w:hAnsi="Calibri"/>
                <w:sz w:val="20"/>
                <w:szCs w:val="20"/>
              </w:rPr>
              <w:t xml:space="preserve">How long was the position held?</w:t>
            </w:r>
          </w:p>
        </w:tc>
      </w:tr>
      <w:tr>
        <w:tc>
          <w:tcPr>
            <w:tcW w:type="dxa" w:w="2500"/>
            <w:vAlign w:val="center"/>
          </w:tcPr>
          <w:p>
            <w:pPr>
              <w:spacing w:after="120"/>
            </w:pPr>
            <w:r>
              <w:rPr>
                <w:rFonts w:ascii="Calibri" w:cs="Calibri" w:eastAsia="Calibri" w:hAnsi="Calibri"/>
                <w:sz w:val="20"/>
                <w:szCs w:val="20"/>
              </w:rPr>
              <w:t xml:space="preserve">direction_correct</w:t>
            </w:r>
          </w:p>
        </w:tc>
        <w:tc>
          <w:tcPr>
            <w:tcW w:type="dxa" w:w="3500"/>
            <w:vAlign w:val="center"/>
          </w:tcPr>
          <w:p>
            <w:pPr>
              <w:spacing w:after="120"/>
            </w:pPr>
            <w:r>
              <w:rPr>
                <w:rFonts w:ascii="Calibri" w:cs="Calibri" w:eastAsia="Calibri" w:hAnsi="Calibri"/>
                <w:sz w:val="20"/>
                <w:szCs w:val="20"/>
              </w:rPr>
              <w:t xml:space="preserve">OutcomeEvaluator (EXISTS)</w:t>
            </w:r>
          </w:p>
        </w:tc>
        <w:tc>
          <w:tcPr>
            <w:tcW w:type="dxa" w:w="3640"/>
            <w:vAlign w:val="center"/>
          </w:tcPr>
          <w:p>
            <w:pPr>
              <w:spacing w:after="120"/>
            </w:pPr>
            <w:r>
              <w:rPr>
                <w:rFonts w:ascii="Calibri" w:cs="Calibri" w:eastAsia="Calibri" w:hAnsi="Calibri"/>
                <w:sz w:val="20"/>
                <w:szCs w:val="20"/>
              </w:rPr>
              <w:t xml:space="preserve">Was the prediction right?</w:t>
            </w:r>
          </w:p>
        </w:tc>
      </w:tr>
      <w:tr>
        <w:tc>
          <w:tcPr>
            <w:tcW w:type="dxa" w:w="2500"/>
            <w:vAlign w:val="center"/>
          </w:tcPr>
          <w:p>
            <w:pPr>
              <w:spacing w:after="120"/>
            </w:pPr>
            <w:r>
              <w:rPr>
                <w:rFonts w:ascii="Calibri" w:cs="Calibri" w:eastAsia="Calibri" w:hAnsi="Calibri"/>
                <w:sz w:val="20"/>
                <w:szCs w:val="20"/>
              </w:rPr>
              <w:t xml:space="preserve">outcome_score</w:t>
            </w:r>
          </w:p>
        </w:tc>
        <w:tc>
          <w:tcPr>
            <w:tcW w:type="dxa" w:w="3500"/>
            <w:vAlign w:val="center"/>
          </w:tcPr>
          <w:p>
            <w:pPr>
              <w:spacing w:after="120"/>
            </w:pPr>
            <w:r>
              <w:rPr>
                <w:rFonts w:ascii="Calibri" w:cs="Calibri" w:eastAsia="Calibri" w:hAnsi="Calibri"/>
                <w:sz w:val="20"/>
                <w:szCs w:val="20"/>
              </w:rPr>
              <w:t xml:space="preserve">OutcomeEvaluator (EXISTS)</w:t>
            </w:r>
          </w:p>
        </w:tc>
        <w:tc>
          <w:tcPr>
            <w:tcW w:type="dxa" w:w="3640"/>
            <w:vAlign w:val="center"/>
          </w:tcPr>
          <w:p>
            <w:pPr>
              <w:spacing w:after="120"/>
            </w:pPr>
            <w:r>
              <w:rPr>
                <w:rFonts w:ascii="Calibri" w:cs="Calibri" w:eastAsia="Calibri" w:hAnsi="Calibri"/>
                <w:sz w:val="20"/>
                <w:szCs w:val="20"/>
              </w:rPr>
              <w:t xml:space="preserve">0-100 quality score</w:t>
            </w:r>
          </w:p>
        </w:tc>
      </w:tr>
    </w:tbl>
    <w:p>
      <w:pPr>
        <w:pStyle w:val="Heading2"/>
        <w:spacing w:after="120" w:before="240"/>
      </w:pPr>
      <w:r>
        <w:rPr>
          <w:rFonts w:ascii="Calibri" w:cs="Calibri" w:eastAsia="Calibri" w:hAnsi="Calibri"/>
          <w:b/>
          <w:bCs/>
          <w:sz w:val="22"/>
          <w:szCs w:val="22"/>
        </w:rPr>
        <w:t xml:space="preserve">5.2 Learning Questions</w:t>
      </w:r>
    </w:p>
    <w:p>
      <w:pPr>
        <w:spacing w:after="120"/>
      </w:pPr>
      <w:r>
        <w:rPr>
          <w:rFonts w:ascii="Calibri" w:cs="Calibri" w:eastAsia="Calibri" w:hAnsi="Calibri"/>
          <w:sz w:val="22"/>
          <w:szCs w:val="22"/>
        </w:rPr>
        <w:t xml:space="preserve">The Learning Engine should aggregate volatility_learning_stats to answer these questions, each producing actionable weight adjustments:</w:t>
      </w:r>
    </w:p>
    <w:p>
      <w:pPr>
        <w:pStyle w:val="ListParagraph"/>
        <w:numPr>
          <w:ilvl w:val="0"/>
          <w:numId w:val="1"/>
        </w:numPr>
        <w:spacing w:after="120"/>
      </w:pPr>
      <w:r>
        <w:rPr>
          <w:rFonts w:ascii="Calibri" w:cs="Calibri" w:eastAsia="Calibri" w:hAnsi="Calibri"/>
          <w:sz w:val="22"/>
          <w:szCs w:val="22"/>
        </w:rPr>
        <w:t xml:space="preserve">Which opportunity types are actually profitable? Group resolved predictions by opportunity_type, compute win rate and expected value. If DipAfterPanic has 65% win rate but VolatilityTrap has 20%, the system learns to weight them differently.</w:t>
      </w:r>
    </w:p>
    <w:p>
      <w:pPr>
        <w:pStyle w:val="ListParagraph"/>
        <w:numPr>
          <w:ilvl w:val="0"/>
          <w:numId w:val="1"/>
        </w:numPr>
        <w:spacing w:after="120"/>
      </w:pPr>
      <w:r>
        <w:rPr>
          <w:rFonts w:ascii="Calibri" w:cs="Calibri" w:eastAsia="Calibri" w:hAnsi="Calibri"/>
          <w:sz w:val="22"/>
          <w:szCs w:val="22"/>
        </w:rPr>
        <w:t xml:space="preserve">Which volatility regimes favor which setups? Cross-tabulate stock_vol_regime × opportunity_type × direction_correct. If mean_reversion works in Squeeze regime but fails in Extreme regime, apply a regime-conditional modifier.</w:t>
      </w:r>
    </w:p>
    <w:p>
      <w:pPr>
        <w:pStyle w:val="ListParagraph"/>
        <w:numPr>
          <w:ilvl w:val="0"/>
          <w:numId w:val="1"/>
        </w:numPr>
        <w:spacing w:after="120"/>
      </w:pPr>
      <w:r>
        <w:rPr>
          <w:rFonts w:ascii="Calibri" w:cs="Calibri" w:eastAsia="Calibri" w:hAnsi="Calibri"/>
          <w:sz w:val="22"/>
          <w:szCs w:val="22"/>
        </w:rPr>
        <w:t xml:space="preserve">At what ATR percentile do predictions break down? Bucket predictions by atr_percentile_at_entry (e.g., 50-60, 60-70, 70-80, 80-90, 90-100) and compute accuracy per bucket. Find the percentile above which accuracy degrades — this becomes a dynamic cap.</w:t>
      </w:r>
    </w:p>
    <w:p>
      <w:pPr>
        <w:pStyle w:val="ListParagraph"/>
        <w:numPr>
          <w:ilvl w:val="0"/>
          <w:numId w:val="1"/>
        </w:numPr>
        <w:spacing w:after="120"/>
      </w:pPr>
      <w:r>
        <w:rPr>
          <w:rFonts w:ascii="Calibri" w:cs="Calibri" w:eastAsia="Calibri" w:hAnsi="Calibri"/>
          <w:sz w:val="22"/>
          <w:szCs w:val="22"/>
        </w:rPr>
        <w:t xml:space="preserve">How does catalyst type interact with volatility? Cross-tabulate catalyst_type × opportunity_type. If earnings catalysts + DipAfterPanic has 70% accuracy but no-catalyst dips have 40%, the system learns to require catalyst confirmation.</w:t>
      </w:r>
    </w:p>
    <w:p>
      <w:pPr>
        <w:pStyle w:val="ListParagraph"/>
        <w:numPr>
          <w:ilvl w:val="0"/>
          <w:numId w:val="1"/>
        </w:numPr>
        <w:spacing w:after="120"/>
      </w:pPr>
      <w:r>
        <w:rPr>
          <w:rFonts w:ascii="Calibri" w:cs="Calibri" w:eastAsia="Calibri" w:hAnsi="Calibri"/>
          <w:sz w:val="22"/>
          <w:szCs w:val="22"/>
        </w:rPr>
        <w:t xml:space="preserve">Are we calibrated on volatile stocks? Compare predicted confidence to actual accuracy for predictions where atr_percentile &gt; 70. If we predict 75% confidence but achieve 50%, the calibration factor should be more aggressive for high-volatility predictions.</w:t>
      </w:r>
    </w:p>
    <w:p>
      <w:pPr>
        <w:pStyle w:val="Heading2"/>
        <w:spacing w:after="120" w:before="240"/>
      </w:pPr>
      <w:r>
        <w:rPr>
          <w:rFonts w:ascii="Calibri" w:cs="Calibri" w:eastAsia="Calibri" w:hAnsi="Calibri"/>
          <w:b/>
          <w:bCs/>
          <w:sz w:val="22"/>
          <w:szCs w:val="22"/>
        </w:rPr>
        <w:t xml:space="preserve">5.3 Integration with Existing Learning</w:t>
      </w:r>
    </w:p>
    <w:p>
      <w:pPr>
        <w:spacing w:after="120"/>
      </w:pPr>
      <w:r>
        <w:rPr>
          <w:rFonts w:ascii="Calibri" w:cs="Calibri" w:eastAsia="Calibri" w:hAnsi="Calibri"/>
          <w:sz w:val="22"/>
          <w:szCs w:val="22"/>
        </w:rPr>
        <w:t xml:space="preserve">This is NOT a separate learning pipeline. It extends the existing LearningEngine with a new stage (Stage 5c: Volatility Opportunity Learning) that runs after supersession learning (Stage 5b). It reads from volatility_learning_stats and produces weight adjustments to the 'volatility' scoring bucket weight in research_scoring_weights. It also produces learning_insights entries tagged with source = 'volatility_opportunity'.</w:t>
      </w:r>
    </w:p>
    <w:p>
      <w:r>
        <w:br w:type="page"/>
      </w:r>
    </w:p>
    <w:p>
      <w:pPr>
        <w:pStyle w:val="Heading1"/>
        <w:spacing w:after="120" w:before="240"/>
      </w:pPr>
      <w:r>
        <w:rPr>
          <w:rFonts w:ascii="Calibri" w:cs="Calibri" w:eastAsia="Calibri" w:hAnsi="Calibri"/>
          <w:b/>
          <w:bCs/>
          <w:sz w:val="22"/>
          <w:szCs w:val="22"/>
        </w:rPr>
        <w:t xml:space="preserve">Phase 6 — Integration Design</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4000"/>
        <w:gridCol w:w="5640"/>
      </w:tblGrid>
      <w:tr>
        <w:tc>
          <w:tcPr>
            <w:tcW w:type="dxa" w:w="4000"/>
            <w:shd w:fill="E8E8E8" w:val="clear"/>
            <w:vAlign w:val="center"/>
          </w:tcPr>
          <w:p>
            <w:pPr>
              <w:spacing w:after="120"/>
            </w:pPr>
            <w:r>
              <w:rPr>
                <w:rFonts w:ascii="Calibri" w:cs="Calibri" w:eastAsia="Calibri" w:hAnsi="Calibri"/>
                <w:b/>
                <w:bCs/>
                <w:sz w:val="20"/>
                <w:szCs w:val="20"/>
              </w:rPr>
              <w:t xml:space="preserve">Component</w:t>
            </w:r>
          </w:p>
        </w:tc>
        <w:tc>
          <w:tcPr>
            <w:tcW w:type="dxa" w:w="5640"/>
            <w:shd w:fill="E8E8E8" w:val="clear"/>
            <w:vAlign w:val="center"/>
          </w:tcPr>
          <w:p>
            <w:pPr>
              <w:spacing w:after="120"/>
            </w:pPr>
            <w:r>
              <w:rPr>
                <w:rFonts w:ascii="Calibri" w:cs="Calibri" w:eastAsia="Calibri" w:hAnsi="Calibri"/>
                <w:sz w:val="20"/>
                <w:szCs w:val="20"/>
              </w:rPr>
              <w:t xml:space="preserve">Integration</w:t>
            </w:r>
          </w:p>
        </w:tc>
      </w:tr>
      <w:tr>
        <w:tc>
          <w:tcPr>
            <w:tcW w:type="dxa" w:w="4000"/>
            <w:vAlign w:val="center"/>
          </w:tcPr>
          <w:p>
            <w:pPr>
              <w:spacing w:after="120"/>
            </w:pPr>
            <w:r>
              <w:rPr>
                <w:rFonts w:ascii="Calibri" w:cs="Calibri" w:eastAsia="Calibri" w:hAnsi="Calibri"/>
                <w:sz w:val="20"/>
                <w:szCs w:val="20"/>
              </w:rPr>
              <w:t xml:space="preserve">Morning Scan</w:t>
            </w:r>
          </w:p>
        </w:tc>
        <w:tc>
          <w:tcPr>
            <w:tcW w:type="dxa" w:w="5640"/>
            <w:vAlign w:val="center"/>
          </w:tcPr>
          <w:p>
            <w:pPr>
              <w:spacing w:after="120"/>
            </w:pPr>
            <w:r>
              <w:rPr>
                <w:rFonts w:ascii="Calibri" w:cs="Calibri" w:eastAsia="Calibri" w:hAnsi="Calibri"/>
                <w:sz w:val="20"/>
                <w:szCs w:val="20"/>
              </w:rPr>
              <w:t xml:space="preserve">After IndicatorEngine.Compute() and before ScoringEngine.Score(), call VolatilityOpportunityEngine.Assess(indicators, bars). Pass the VolatilityOpportunityAssessment to Score() alongside existing inputs. Save assessment to volatility_assessments table.</w:t>
            </w:r>
          </w:p>
        </w:tc>
      </w:tr>
      <w:tr>
        <w:tc>
          <w:tcPr>
            <w:tcW w:type="dxa" w:w="4000"/>
            <w:vAlign w:val="center"/>
          </w:tcPr>
          <w:p>
            <w:pPr>
              <w:spacing w:after="120"/>
            </w:pPr>
            <w:r>
              <w:rPr>
                <w:rFonts w:ascii="Calibri" w:cs="Calibri" w:eastAsia="Calibri" w:hAnsi="Calibri"/>
                <w:sz w:val="20"/>
                <w:szCs w:val="20"/>
              </w:rPr>
              <w:t xml:space="preserve">Scoring Engine</w:t>
            </w:r>
          </w:p>
        </w:tc>
        <w:tc>
          <w:tcPr>
            <w:tcW w:type="dxa" w:w="5640"/>
            <w:vAlign w:val="center"/>
          </w:tcPr>
          <w:p>
            <w:pPr>
              <w:spacing w:after="120"/>
            </w:pPr>
            <w:r>
              <w:rPr>
                <w:rFonts w:ascii="Calibri" w:cs="Calibri" w:eastAsia="Calibri" w:hAnsi="Calibri"/>
                <w:sz w:val="20"/>
                <w:szCs w:val="20"/>
              </w:rPr>
              <w:t xml:space="preserve">Replace the current VolatilityEvaluator (max 10/10, Bollinger-only) with an enhanced version that uses the VOE assessment. Increase max contribution to 15/15 to match the richer signal set. Use opportunity_type classification to apply directional scoring.</w:t>
            </w:r>
          </w:p>
        </w:tc>
      </w:tr>
      <w:tr>
        <w:tc>
          <w:tcPr>
            <w:tcW w:type="dxa" w:w="4000"/>
            <w:vAlign w:val="center"/>
          </w:tcPr>
          <w:p>
            <w:pPr>
              <w:spacing w:after="120"/>
            </w:pPr>
            <w:r>
              <w:rPr>
                <w:rFonts w:ascii="Calibri" w:cs="Calibri" w:eastAsia="Calibri" w:hAnsi="Calibri"/>
                <w:sz w:val="20"/>
                <w:szCs w:val="20"/>
              </w:rPr>
              <w:t xml:space="preserve">Prediction Engine</w:t>
            </w:r>
          </w:p>
        </w:tc>
        <w:tc>
          <w:tcPr>
            <w:tcW w:type="dxa" w:w="5640"/>
            <w:vAlign w:val="center"/>
          </w:tcPr>
          <w:p>
            <w:pPr>
              <w:spacing w:after="120"/>
            </w:pPr>
            <w:r>
              <w:rPr>
                <w:rFonts w:ascii="Calibri" w:cs="Calibri" w:eastAsia="Calibri" w:hAnsi="Calibri"/>
                <w:sz w:val="20"/>
                <w:szCs w:val="20"/>
              </w:rPr>
              <w:t xml:space="preserve">No change. Prediction generation continues to use ScoringEngine output. The VOE enriches scoring, not prediction logic.</w:t>
            </w:r>
          </w:p>
        </w:tc>
      </w:tr>
      <w:tr>
        <w:tc>
          <w:tcPr>
            <w:tcW w:type="dxa" w:w="4000"/>
            <w:vAlign w:val="center"/>
          </w:tcPr>
          <w:p>
            <w:pPr>
              <w:spacing w:after="120"/>
            </w:pPr>
            <w:r>
              <w:rPr>
                <w:rFonts w:ascii="Calibri" w:cs="Calibri" w:eastAsia="Calibri" w:hAnsi="Calibri"/>
                <w:sz w:val="20"/>
                <w:szCs w:val="20"/>
              </w:rPr>
              <w:t xml:space="preserve">TradeSetupEngine</w:t>
            </w:r>
          </w:p>
        </w:tc>
        <w:tc>
          <w:tcPr>
            <w:tcW w:type="dxa" w:w="5640"/>
            <w:vAlign w:val="center"/>
          </w:tcPr>
          <w:p>
            <w:pPr>
              <w:spacing w:after="120"/>
            </w:pPr>
            <w:r>
              <w:rPr>
                <w:rFonts w:ascii="Calibri" w:cs="Calibri" w:eastAsia="Calibri" w:hAnsi="Calibri"/>
                <w:sz w:val="20"/>
                <w:szCs w:val="20"/>
              </w:rPr>
              <w:t xml:space="preserve">Add VOE opportunity_type as an additional dimension on trade_setups. When the VOE classifies a DipAfterPanic or SqueezeBreakout, record it as setup context. This enables setup-level learning on volatility patterns.</w:t>
            </w:r>
          </w:p>
        </w:tc>
      </w:tr>
      <w:tr>
        <w:tc>
          <w:tcPr>
            <w:tcW w:type="dxa" w:w="4000"/>
            <w:vAlign w:val="center"/>
          </w:tcPr>
          <w:p>
            <w:pPr>
              <w:spacing w:after="120"/>
            </w:pPr>
            <w:r>
              <w:rPr>
                <w:rFonts w:ascii="Calibri" w:cs="Calibri" w:eastAsia="Calibri" w:hAnsi="Calibri"/>
                <w:sz w:val="20"/>
                <w:szCs w:val="20"/>
              </w:rPr>
              <w:t xml:space="preserve">Learning Engine</w:t>
            </w:r>
          </w:p>
        </w:tc>
        <w:tc>
          <w:tcPr>
            <w:tcW w:type="dxa" w:w="5640"/>
            <w:vAlign w:val="center"/>
          </w:tcPr>
          <w:p>
            <w:pPr>
              <w:spacing w:after="120"/>
            </w:pPr>
            <w:r>
              <w:rPr>
                <w:rFonts w:ascii="Calibri" w:cs="Calibri" w:eastAsia="Calibri" w:hAnsi="Calibri"/>
                <w:sz w:val="20"/>
                <w:szCs w:val="20"/>
              </w:rPr>
              <w:t xml:space="preserve">Add Stage 5c: VolatilityOpportunityLearning. Aggregates volatility_learning_stats from resolved predictions. Produces weight adjustments for the volatility bucket. Produces insights.</w:t>
            </w:r>
          </w:p>
        </w:tc>
      </w:tr>
      <w:tr>
        <w:tc>
          <w:tcPr>
            <w:tcW w:type="dxa" w:w="4000"/>
            <w:vAlign w:val="center"/>
          </w:tcPr>
          <w:p>
            <w:pPr>
              <w:spacing w:after="120"/>
            </w:pPr>
            <w:r>
              <w:rPr>
                <w:rFonts w:ascii="Calibri" w:cs="Calibri" w:eastAsia="Calibri" w:hAnsi="Calibri"/>
                <w:sz w:val="20"/>
                <w:szCs w:val="20"/>
              </w:rPr>
              <w:t xml:space="preserve">Outcome Evaluation</w:t>
            </w:r>
          </w:p>
        </w:tc>
        <w:tc>
          <w:tcPr>
            <w:tcW w:type="dxa" w:w="5640"/>
            <w:vAlign w:val="center"/>
          </w:tcPr>
          <w:p>
            <w:pPr>
              <w:spacing w:after="120"/>
            </w:pPr>
            <w:r>
              <w:rPr>
                <w:rFonts w:ascii="Calibri" w:cs="Calibri" w:eastAsia="Calibri" w:hAnsi="Calibri"/>
                <w:sz w:val="20"/>
                <w:szCs w:val="20"/>
              </w:rPr>
              <w:t xml:space="preserve">Extend OutcomeEvaluator to compute time_to_5pct_recovery, time_to_target, and bounce_quality_realized for predictions with attached volatility assessments. Upsert volatility_learning_stats.</w:t>
            </w:r>
          </w:p>
        </w:tc>
      </w:tr>
      <w:tr>
        <w:tc>
          <w:tcPr>
            <w:tcW w:type="dxa" w:w="4000"/>
            <w:vAlign w:val="center"/>
          </w:tcPr>
          <w:p>
            <w:pPr>
              <w:spacing w:after="120"/>
            </w:pPr>
            <w:r>
              <w:rPr>
                <w:rFonts w:ascii="Calibri" w:cs="Calibri" w:eastAsia="Calibri" w:hAnsi="Calibri"/>
                <w:sz w:val="20"/>
                <w:szCs w:val="20"/>
              </w:rPr>
              <w:t xml:space="preserve">Market Regime</w:t>
            </w:r>
          </w:p>
        </w:tc>
        <w:tc>
          <w:tcPr>
            <w:tcW w:type="dxa" w:w="5640"/>
            <w:vAlign w:val="center"/>
          </w:tcPr>
          <w:p>
            <w:pPr>
              <w:spacing w:after="120"/>
            </w:pPr>
            <w:r>
              <w:rPr>
                <w:rFonts w:ascii="Calibri" w:cs="Calibri" w:eastAsia="Calibri" w:hAnsi="Calibri"/>
                <w:sz w:val="20"/>
                <w:szCs w:val="20"/>
              </w:rPr>
              <w:t xml:space="preserve">No change to MarketRegimeEngine. The VOE reads market regime as context but does not modify it. Per-stock volatility regime is a separate concept.</w:t>
            </w:r>
          </w:p>
        </w:tc>
      </w:tr>
      <w:tr>
        <w:tc>
          <w:tcPr>
            <w:tcW w:type="dxa" w:w="4000"/>
            <w:vAlign w:val="center"/>
          </w:tcPr>
          <w:p>
            <w:pPr>
              <w:spacing w:after="120"/>
            </w:pPr>
            <w:r>
              <w:rPr>
                <w:rFonts w:ascii="Calibri" w:cs="Calibri" w:eastAsia="Calibri" w:hAnsi="Calibri"/>
                <w:sz w:val="20"/>
                <w:szCs w:val="20"/>
              </w:rPr>
              <w:t xml:space="preserve">Velocity Engine</w:t>
            </w:r>
          </w:p>
        </w:tc>
        <w:tc>
          <w:tcPr>
            <w:tcW w:type="dxa" w:w="5640"/>
            <w:vAlign w:val="center"/>
          </w:tcPr>
          <w:p>
            <w:pPr>
              <w:spacing w:after="120"/>
            </w:pPr>
            <w:r>
              <w:rPr>
                <w:rFonts w:ascii="Calibri" w:cs="Calibri" w:eastAsia="Calibri" w:hAnsi="Calibri"/>
                <w:sz w:val="20"/>
                <w:szCs w:val="20"/>
              </w:rPr>
              <w:t xml:space="preserve">Does not exist. No integration needed.</w:t>
            </w:r>
          </w:p>
        </w:tc>
      </w:tr>
      <w:tr>
        <w:tc>
          <w:tcPr>
            <w:tcW w:type="dxa" w:w="4000"/>
            <w:vAlign w:val="center"/>
          </w:tcPr>
          <w:p>
            <w:pPr>
              <w:spacing w:after="120"/>
            </w:pPr>
            <w:r>
              <w:rPr>
                <w:rFonts w:ascii="Calibri" w:cs="Calibri" w:eastAsia="Calibri" w:hAnsi="Calibri"/>
                <w:sz w:val="20"/>
                <w:szCs w:val="20"/>
              </w:rPr>
              <w:t xml:space="preserve">Paper Trading</w:t>
            </w:r>
          </w:p>
        </w:tc>
        <w:tc>
          <w:tcPr>
            <w:tcW w:type="dxa" w:w="5640"/>
            <w:vAlign w:val="center"/>
          </w:tcPr>
          <w:p>
            <w:pPr>
              <w:spacing w:after="120"/>
            </w:pPr>
            <w:r>
              <w:rPr>
                <w:rFonts w:ascii="Calibri" w:cs="Calibri" w:eastAsia="Calibri" w:hAnsi="Calibri"/>
                <w:sz w:val="20"/>
                <w:szCs w:val="20"/>
              </w:rPr>
              <w:t xml:space="preserve">No change. Paper stock/option candidates continue to be created from predictions. The VOE enrichment flows through via improved prediction quality.</w:t>
            </w:r>
          </w:p>
        </w:tc>
      </w:tr>
    </w:tbl>
    <w:p>
      <w:pPr>
        <w:spacing w:after="120"/>
      </w:pPr>
      <w:r>
        <w:rPr>
          <w:rFonts w:ascii="Calibri" w:cs="Calibri" w:eastAsia="Calibri" w:hAnsi="Calibri"/>
          <w:sz w:val="22"/>
          <w:szCs w:val="22"/>
        </w:rPr>
        <w:t xml:space="preserve">Key principle: the VOE adds a new feature computation step between indicator calculation and scoring. It does not add a new pipeline, a new prediction type, or a new paper trading path. Every integration point is an extension of an existing interface, not a new one.</w:t>
      </w:r>
    </w:p>
    <w:p>
      <w:r>
        <w:br w:type="page"/>
      </w:r>
    </w:p>
    <w:p>
      <w:pPr>
        <w:pStyle w:val="Heading1"/>
        <w:spacing w:after="120" w:before="240"/>
      </w:pPr>
      <w:r>
        <w:rPr>
          <w:rFonts w:ascii="Calibri" w:cs="Calibri" w:eastAsia="Calibri" w:hAnsi="Calibri"/>
          <w:b/>
          <w:bCs/>
          <w:sz w:val="22"/>
          <w:szCs w:val="22"/>
        </w:rPr>
        <w:t xml:space="preserve">Phase 7 — Roadmap &amp; Recommendation</w:t>
      </w:r>
    </w:p>
    <w:p>
      <w:pPr>
        <w:pStyle w:val="Heading2"/>
        <w:spacing w:after="120" w:before="240"/>
      </w:pPr>
      <w:r>
        <w:rPr>
          <w:rFonts w:ascii="Calibri" w:cs="Calibri" w:eastAsia="Calibri" w:hAnsi="Calibri"/>
          <w:b/>
          <w:bCs/>
          <w:sz w:val="22"/>
          <w:szCs w:val="22"/>
        </w:rPr>
        <w:t xml:space="preserve">7.1 Executive Summary</w:t>
      </w:r>
    </w:p>
    <w:p>
      <w:pPr>
        <w:spacing w:after="120"/>
      </w:pPr>
      <w:r>
        <w:rPr>
          <w:rFonts w:ascii="Calibri" w:cs="Calibri" w:eastAsia="Calibri" w:hAnsi="Calibri"/>
          <w:sz w:val="22"/>
          <w:szCs w:val="22"/>
        </w:rPr>
        <w:t xml:space="preserve">The Deep Research report identifies a real gap in STOCKJAWN: the system computes volatility indicators but does not interpret them as opportunity signals. The VolatilityEvaluator is the weakest scoring bucket (max 10/10, Bollinger-only), while volatility-driven setups are among the highest-conviction opportunities in short-term trading. However, the report's proposed solution (a standalone ML-based dip detection system) is the wrong architecture for STOCKJAWN. The right approach is a Volatility Opportunity Engine that enriches the existing scoring pipeline with per-stock volatility context, gap detection, and opportunity classification — without duplicating any existing functionality.</w:t>
      </w:r>
    </w:p>
    <w:p>
      <w:pPr>
        <w:pStyle w:val="Heading2"/>
        <w:spacing w:after="120" w:before="240"/>
      </w:pPr>
      <w:r>
        <w:rPr>
          <w:rFonts w:ascii="Calibri" w:cs="Calibri" w:eastAsia="Calibri" w:hAnsi="Calibri"/>
          <w:b/>
          <w:bCs/>
          <w:sz w:val="22"/>
          <w:szCs w:val="22"/>
        </w:rPr>
        <w:t xml:space="preserve">7.2 Architectural Recommendation</w:t>
      </w:r>
    </w:p>
    <w:p>
      <w:pPr>
        <w:spacing w:after="120"/>
      </w:pPr>
      <w:r>
        <w:rPr>
          <w:rFonts w:ascii="Calibri" w:cs="Calibri" w:eastAsia="Calibri" w:hAnsi="Calibri"/>
          <w:sz w:val="22"/>
          <w:szCs w:val="22"/>
        </w:rPr>
        <w:t xml:space="preserve">YES — implement a Volatility Opportunity Engine as a feature enrichment layer. NO — do not implement the report's proposed standalone ML dip detection system.</w:t>
      </w:r>
    </w:p>
    <w:p>
      <w:pPr>
        <w:spacing w:after="120"/>
      </w:pPr>
      <w:r>
        <w:rPr>
          <w:rFonts w:ascii="Calibri" w:cs="Calibri" w:eastAsia="Calibri" w:hAnsi="Calibri"/>
          <w:sz w:val="22"/>
          <w:szCs w:val="22"/>
        </w:rPr>
        <w:t xml:space="preserve">The VOE should be a single new service (VolatilityOpportunityEngine) that sits between IndicatorEngine and ScoringEngine in the Morning Scan pipeline. It reads existing indicator output plus raw bars, computes ~15 new features (ATR percentile, gap detection, per-stock volatility regime, bandwidth direction), classifies the opportunity type, and passes a structured assessment to a redesigned VolatilityEvaluator.</w:t>
      </w:r>
    </w:p>
    <w:p>
      <w:pPr>
        <w:pStyle w:val="Heading2"/>
        <w:spacing w:after="120" w:before="240"/>
      </w:pPr>
      <w:r>
        <w:rPr>
          <w:rFonts w:ascii="Calibri" w:cs="Calibri" w:eastAsia="Calibri" w:hAnsi="Calibri"/>
          <w:b/>
          <w:bCs/>
          <w:sz w:val="22"/>
          <w:szCs w:val="22"/>
        </w:rPr>
        <w:t xml:space="preserve">7.3 Risks</w:t>
      </w:r>
    </w:p>
    <w:p>
      <w:pPr>
        <w:pStyle w:val="ListParagraph"/>
        <w:numPr>
          <w:ilvl w:val="0"/>
          <w:numId w:val="1"/>
        </w:numPr>
        <w:spacing w:after="120"/>
      </w:pPr>
      <w:r>
        <w:rPr>
          <w:rFonts w:ascii="Calibri" w:cs="Calibri" w:eastAsia="Calibri" w:hAnsi="Calibri"/>
          <w:sz w:val="22"/>
          <w:szCs w:val="22"/>
        </w:rPr>
        <w:t xml:space="preserve">Overfitting to recent volatility regime: The H1 2026 period was broadly bullish. Dip-buying worked. In a bear market or crisis, the same signals produce different outcomes. Mitigation: regime-conditional logic and learning-engine-driven weight adjustment.</w:t>
      </w:r>
    </w:p>
    <w:p>
      <w:pPr>
        <w:pStyle w:val="ListParagraph"/>
        <w:numPr>
          <w:ilvl w:val="0"/>
          <w:numId w:val="1"/>
        </w:numPr>
        <w:spacing w:after="120"/>
      </w:pPr>
      <w:r>
        <w:rPr>
          <w:rFonts w:ascii="Calibri" w:cs="Calibri" w:eastAsia="Calibri" w:hAnsi="Calibri"/>
          <w:sz w:val="22"/>
          <w:szCs w:val="22"/>
        </w:rPr>
        <w:t xml:space="preserve">Increased scoring complexity: Adding 15 new features to the scoring pipeline increases the surface area for bugs and makes score debugging harder. Mitigation: persist all VOE features in volatility_assessments for auditability.</w:t>
      </w:r>
    </w:p>
    <w:p>
      <w:pPr>
        <w:pStyle w:val="ListParagraph"/>
        <w:numPr>
          <w:ilvl w:val="0"/>
          <w:numId w:val="1"/>
        </w:numPr>
        <w:spacing w:after="120"/>
      </w:pPr>
      <w:r>
        <w:rPr>
          <w:rFonts w:ascii="Calibri" w:cs="Calibri" w:eastAsia="Calibri" w:hAnsi="Calibri"/>
          <w:sz w:val="22"/>
          <w:szCs w:val="22"/>
        </w:rPr>
        <w:t xml:space="preserve">Data requirements: ATR percentile requires 60+ bars of history. Stocks with insufficient history cannot be assessed. Mitigation: graceful degradation — fall back to current Bollinger-only logic when history is insufficient.</w:t>
      </w:r>
    </w:p>
    <w:p>
      <w:pPr>
        <w:pStyle w:val="ListParagraph"/>
        <w:numPr>
          <w:ilvl w:val="0"/>
          <w:numId w:val="1"/>
        </w:numPr>
        <w:spacing w:after="120"/>
      </w:pPr>
      <w:r>
        <w:rPr>
          <w:rFonts w:ascii="Calibri" w:cs="Calibri" w:eastAsia="Calibri" w:hAnsi="Calibri"/>
          <w:sz w:val="22"/>
          <w:szCs w:val="22"/>
        </w:rPr>
        <w:t xml:space="preserve">Double-counting: Some VOE features overlap with existing signals (e.g., RSI &lt; 30 is already scored in MomentumEvaluator). Mitigation: the VOE should not re-score RSI/ATR individually — it should only produce composite classifications (DipAfterPanic, etc.) that combine multiple signals.</w:t>
      </w:r>
    </w:p>
    <w:p>
      <w:pPr>
        <w:pStyle w:val="Heading2"/>
        <w:spacing w:after="120" w:before="240"/>
      </w:pPr>
      <w:r>
        <w:rPr>
          <w:rFonts w:ascii="Calibri" w:cs="Calibri" w:eastAsia="Calibri" w:hAnsi="Calibri"/>
          <w:b/>
          <w:bCs/>
          <w:sz w:val="22"/>
          <w:szCs w:val="22"/>
        </w:rPr>
        <w:t xml:space="preserve">7.4 Expected Improvement</w:t>
      </w:r>
    </w:p>
    <w:p>
      <w:pPr>
        <w:spacing w:after="120"/>
      </w:pPr>
      <w:r>
        <w:rPr>
          <w:rFonts w:ascii="Calibri" w:cs="Calibri" w:eastAsia="Calibri" w:hAnsi="Calibri"/>
          <w:sz w:val="22"/>
          <w:szCs w:val="22"/>
        </w:rPr>
        <w:t xml:space="preserve">The VolatilityEvaluator currently contributes at most 10 out of ~110 possible scoring points (9%). With the enhanced version, it would contribute up to 15 points (12%) with significantly better signal quality. Specific improvements: more accurate confidence scores for volatile stocks (currently over-confident due to weak volatility assessment), better neutral_high_volatility classification (currently uses only BB bandwidth &gt; 8%), fewer false bullish predictions during volatility traps (currently no trap detection), and new learning dimensions (opportunity_type × regime) that enable the system to distinguish profitable volatile setups from noise.</w:t>
      </w:r>
    </w:p>
    <w:p>
      <w:pPr>
        <w:pStyle w:val="Heading2"/>
        <w:spacing w:after="120" w:before="240"/>
      </w:pPr>
      <w:r>
        <w:rPr>
          <w:rFonts w:ascii="Calibri" w:cs="Calibri" w:eastAsia="Calibri" w:hAnsi="Calibri"/>
          <w:b/>
          <w:bCs/>
          <w:sz w:val="22"/>
          <w:szCs w:val="22"/>
        </w:rPr>
        <w:t xml:space="preserve">7.5 New Database Objects</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4000"/>
        <w:gridCol w:w="5640"/>
      </w:tblGrid>
      <w:tr>
        <w:tc>
          <w:tcPr>
            <w:tcW w:type="dxa" w:w="4000"/>
            <w:shd w:fill="E8E8E8" w:val="clear"/>
            <w:vAlign w:val="center"/>
          </w:tcPr>
          <w:p>
            <w:pPr>
              <w:spacing w:after="120"/>
            </w:pPr>
            <w:r>
              <w:rPr>
                <w:rFonts w:ascii="Calibri" w:cs="Calibri" w:eastAsia="Calibri" w:hAnsi="Calibri"/>
                <w:b/>
                <w:bCs/>
                <w:sz w:val="20"/>
                <w:szCs w:val="20"/>
              </w:rPr>
              <w:t xml:space="preserve">Object</w:t>
            </w:r>
          </w:p>
        </w:tc>
        <w:tc>
          <w:tcPr>
            <w:tcW w:type="dxa" w:w="5640"/>
            <w:shd w:fill="E8E8E8" w:val="clear"/>
            <w:vAlign w:val="center"/>
          </w:tcPr>
          <w:p>
            <w:pPr>
              <w:spacing w:after="120"/>
            </w:pPr>
            <w:r>
              <w:rPr>
                <w:rFonts w:ascii="Calibri" w:cs="Calibri" w:eastAsia="Calibri" w:hAnsi="Calibri"/>
                <w:sz w:val="20"/>
                <w:szCs w:val="20"/>
              </w:rPr>
              <w:t xml:space="preserve">Description</w:t>
            </w:r>
          </w:p>
        </w:tc>
      </w:tr>
      <w:tr>
        <w:tc>
          <w:tcPr>
            <w:tcW w:type="dxa" w:w="4000"/>
            <w:vAlign w:val="center"/>
          </w:tcPr>
          <w:p>
            <w:pPr>
              <w:spacing w:after="120"/>
            </w:pPr>
            <w:r>
              <w:rPr>
                <w:rFonts w:ascii="Calibri" w:cs="Calibri" w:eastAsia="Calibri" w:hAnsi="Calibri"/>
                <w:sz w:val="20"/>
                <w:szCs w:val="20"/>
              </w:rPr>
              <w:t xml:space="preserve">volatility_assessments</w:t>
            </w:r>
          </w:p>
        </w:tc>
        <w:tc>
          <w:tcPr>
            <w:tcW w:type="dxa" w:w="5640"/>
            <w:vAlign w:val="center"/>
          </w:tcPr>
          <w:p>
            <w:pPr>
              <w:spacing w:after="120"/>
            </w:pPr>
            <w:r>
              <w:rPr>
                <w:rFonts w:ascii="Calibri" w:cs="Calibri" w:eastAsia="Calibri" w:hAnsi="Calibri"/>
                <w:sz w:val="20"/>
                <w:szCs w:val="20"/>
              </w:rPr>
              <w:t xml:space="preserve">Per-ticker-per-scan snapshot of all VOE features and classifications</w:t>
            </w:r>
          </w:p>
        </w:tc>
      </w:tr>
      <w:tr>
        <w:tc>
          <w:tcPr>
            <w:tcW w:type="dxa" w:w="4000"/>
            <w:vAlign w:val="center"/>
          </w:tcPr>
          <w:p>
            <w:pPr>
              <w:spacing w:after="120"/>
            </w:pPr>
            <w:r>
              <w:rPr>
                <w:rFonts w:ascii="Calibri" w:cs="Calibri" w:eastAsia="Calibri" w:hAnsi="Calibri"/>
                <w:sz w:val="20"/>
                <w:szCs w:val="20"/>
              </w:rPr>
              <w:t xml:space="preserve">volatility_learning_stats</w:t>
            </w:r>
          </w:p>
        </w:tc>
        <w:tc>
          <w:tcPr>
            <w:tcW w:type="dxa" w:w="5640"/>
            <w:vAlign w:val="center"/>
          </w:tcPr>
          <w:p>
            <w:pPr>
              <w:spacing w:after="120"/>
            </w:pPr>
            <w:r>
              <w:rPr>
                <w:rFonts w:ascii="Calibri" w:cs="Calibri" w:eastAsia="Calibri" w:hAnsi="Calibri"/>
                <w:sz w:val="20"/>
                <w:szCs w:val="20"/>
              </w:rPr>
              <w:t xml:space="preserve">Aggregated performance stats by opportunity_type × stock_vol_regime × market_regime</w:t>
            </w:r>
          </w:p>
        </w:tc>
      </w:tr>
    </w:tbl>
    <w:p>
      <w:pPr>
        <w:pStyle w:val="Heading2"/>
        <w:spacing w:after="120" w:before="240"/>
      </w:pPr>
      <w:r>
        <w:rPr>
          <w:rFonts w:ascii="Calibri" w:cs="Calibri" w:eastAsia="Calibri" w:hAnsi="Calibri"/>
          <w:b/>
          <w:bCs/>
          <w:sz w:val="22"/>
          <w:szCs w:val="22"/>
        </w:rPr>
        <w:t xml:space="preserve">7.6 New Services</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4000"/>
        <w:gridCol w:w="5640"/>
      </w:tblGrid>
      <w:tr>
        <w:tc>
          <w:tcPr>
            <w:tcW w:type="dxa" w:w="4000"/>
            <w:shd w:fill="E8E8E8" w:val="clear"/>
            <w:vAlign w:val="center"/>
          </w:tcPr>
          <w:p>
            <w:pPr>
              <w:spacing w:after="120"/>
            </w:pPr>
            <w:r>
              <w:rPr>
                <w:rFonts w:ascii="Calibri" w:cs="Calibri" w:eastAsia="Calibri" w:hAnsi="Calibri"/>
                <w:b/>
                <w:bCs/>
                <w:sz w:val="20"/>
                <w:szCs w:val="20"/>
              </w:rPr>
              <w:t xml:space="preserve">Service</w:t>
            </w:r>
          </w:p>
        </w:tc>
        <w:tc>
          <w:tcPr>
            <w:tcW w:type="dxa" w:w="5640"/>
            <w:shd w:fill="E8E8E8" w:val="clear"/>
            <w:vAlign w:val="center"/>
          </w:tcPr>
          <w:p>
            <w:pPr>
              <w:spacing w:after="120"/>
            </w:pPr>
            <w:r>
              <w:rPr>
                <w:rFonts w:ascii="Calibri" w:cs="Calibri" w:eastAsia="Calibri" w:hAnsi="Calibri"/>
                <w:sz w:val="20"/>
                <w:szCs w:val="20"/>
              </w:rPr>
              <w:t xml:space="preserve">Description</w:t>
            </w:r>
          </w:p>
        </w:tc>
      </w:tr>
      <w:tr>
        <w:tc>
          <w:tcPr>
            <w:tcW w:type="dxa" w:w="4000"/>
            <w:vAlign w:val="center"/>
          </w:tcPr>
          <w:p>
            <w:pPr>
              <w:spacing w:after="120"/>
            </w:pPr>
            <w:r>
              <w:rPr>
                <w:rFonts w:ascii="Calibri" w:cs="Calibri" w:eastAsia="Calibri" w:hAnsi="Calibri"/>
                <w:sz w:val="20"/>
                <w:szCs w:val="20"/>
              </w:rPr>
              <w:t xml:space="preserve">VolatilityOpportunityEngine</w:t>
            </w:r>
          </w:p>
        </w:tc>
        <w:tc>
          <w:tcPr>
            <w:tcW w:type="dxa" w:w="5640"/>
            <w:vAlign w:val="center"/>
          </w:tcPr>
          <w:p>
            <w:pPr>
              <w:spacing w:after="120"/>
            </w:pPr>
            <w:r>
              <w:rPr>
                <w:rFonts w:ascii="Calibri" w:cs="Calibri" w:eastAsia="Calibri" w:hAnsi="Calibri"/>
                <w:sz w:val="20"/>
                <w:szCs w:val="20"/>
              </w:rPr>
              <w:t xml:space="preserve">Core feature computation and opportunity classification. ~300-400 lines.</w:t>
            </w:r>
          </w:p>
        </w:tc>
      </w:tr>
      <w:tr>
        <w:tc>
          <w:tcPr>
            <w:tcW w:type="dxa" w:w="4000"/>
            <w:vAlign w:val="center"/>
          </w:tcPr>
          <w:p>
            <w:pPr>
              <w:spacing w:after="120"/>
            </w:pPr>
            <w:r>
              <w:rPr>
                <w:rFonts w:ascii="Calibri" w:cs="Calibri" w:eastAsia="Calibri" w:hAnsi="Calibri"/>
                <w:sz w:val="20"/>
                <w:szCs w:val="20"/>
              </w:rPr>
              <w:t xml:space="preserve">Enhanced VolatilityEvaluator</w:t>
            </w:r>
          </w:p>
        </w:tc>
        <w:tc>
          <w:tcPr>
            <w:tcW w:type="dxa" w:w="5640"/>
            <w:vAlign w:val="center"/>
          </w:tcPr>
          <w:p>
            <w:pPr>
              <w:spacing w:after="120"/>
            </w:pPr>
            <w:r>
              <w:rPr>
                <w:rFonts w:ascii="Calibri" w:cs="Calibri" w:eastAsia="Calibri" w:hAnsi="Calibri"/>
                <w:sz w:val="20"/>
                <w:szCs w:val="20"/>
              </w:rPr>
              <w:t xml:space="preserve">Replaces current VolatilityEvaluator in ScoringEngine. Uses VOE assessment instead of raw Bollinger. ~100 lines changed.</w:t>
            </w:r>
          </w:p>
        </w:tc>
      </w:tr>
      <w:tr>
        <w:tc>
          <w:tcPr>
            <w:tcW w:type="dxa" w:w="4000"/>
            <w:vAlign w:val="center"/>
          </w:tcPr>
          <w:p>
            <w:pPr>
              <w:spacing w:after="120"/>
            </w:pPr>
            <w:r>
              <w:rPr>
                <w:rFonts w:ascii="Calibri" w:cs="Calibri" w:eastAsia="Calibri" w:hAnsi="Calibri"/>
                <w:sz w:val="20"/>
                <w:szCs w:val="20"/>
              </w:rPr>
              <w:t xml:space="preserve">VolatilityLearningStage</w:t>
            </w:r>
          </w:p>
        </w:tc>
        <w:tc>
          <w:tcPr>
            <w:tcW w:type="dxa" w:w="5640"/>
            <w:vAlign w:val="center"/>
          </w:tcPr>
          <w:p>
            <w:pPr>
              <w:spacing w:after="120"/>
            </w:pPr>
            <w:r>
              <w:rPr>
                <w:rFonts w:ascii="Calibri" w:cs="Calibri" w:eastAsia="Calibri" w:hAnsi="Calibri"/>
                <w:sz w:val="20"/>
                <w:szCs w:val="20"/>
              </w:rPr>
              <w:t xml:space="preserve">New stage in LearningEngine (Stage 5c). Aggregates and produces weight adjustments. ~200 lines.</w:t>
            </w:r>
          </w:p>
        </w:tc>
      </w:tr>
    </w:tbl>
    <w:p>
      <w:pPr>
        <w:pStyle w:val="Heading2"/>
        <w:spacing w:after="120" w:before="240"/>
      </w:pPr>
      <w:r>
        <w:rPr>
          <w:rFonts w:ascii="Calibri" w:cs="Calibri" w:eastAsia="Calibri" w:hAnsi="Calibri"/>
          <w:b/>
          <w:bCs/>
          <w:sz w:val="22"/>
          <w:szCs w:val="22"/>
        </w:rPr>
        <w:t xml:space="preserve">7.7 New Learning Metrics</w:t>
      </w:r>
    </w:p>
    <w:p>
      <w:pPr>
        <w:spacing w:after="120"/>
      </w:pPr>
      <w:r>
        <w:rPr>
          <w:rFonts w:ascii="Calibri" w:cs="Calibri" w:eastAsia="Calibri" w:hAnsi="Calibri"/>
          <w:sz w:val="22"/>
          <w:szCs w:val="22"/>
        </w:rPr>
        <w:t xml:space="preserve">Win rate by opportunity_type, expected value by opportunity_type × stock_vol_regime, accuracy by ATR percentile bucket, accuracy by gap_type, time_to_5pct_recovery distribution, bounce_quality_realized vs predicted, regime-conditional volatility bucket weight.</w:t>
      </w:r>
    </w:p>
    <w:p>
      <w:pPr>
        <w:pStyle w:val="Heading2"/>
        <w:spacing w:after="120" w:before="240"/>
      </w:pPr>
      <w:r>
        <w:rPr>
          <w:rFonts w:ascii="Calibri" w:cs="Calibri" w:eastAsia="Calibri" w:hAnsi="Calibri"/>
          <w:b/>
          <w:bCs/>
          <w:sz w:val="22"/>
          <w:szCs w:val="22"/>
        </w:rPr>
        <w:t xml:space="preserve">7.8 New Prediction Features</w:t>
      </w:r>
    </w:p>
    <w:p>
      <w:pPr>
        <w:spacing w:after="120"/>
      </w:pPr>
      <w:r>
        <w:rPr>
          <w:rFonts w:ascii="Calibri" w:cs="Calibri" w:eastAsia="Calibri" w:hAnsi="Calibri"/>
          <w:sz w:val="22"/>
          <w:szCs w:val="22"/>
        </w:rPr>
        <w:t xml:space="preserve">Predictions gain: atr_percentile, stock_vol_regime, gap_type, opportunity_type, opportunity_score, volatility_risk_modifier — all persisted in score_debug_json for auditability.</w:t>
      </w:r>
    </w:p>
    <w:p>
      <w:pPr>
        <w:pStyle w:val="Heading2"/>
        <w:spacing w:after="120" w:before="240"/>
      </w:pPr>
      <w:r>
        <w:rPr>
          <w:rFonts w:ascii="Calibri" w:cs="Calibri" w:eastAsia="Calibri" w:hAnsi="Calibri"/>
          <w:b/>
          <w:bCs/>
          <w:sz w:val="22"/>
          <w:szCs w:val="22"/>
        </w:rPr>
        <w:t xml:space="preserve">7.9 Implementation Roadmap</w:t>
      </w:r>
    </w:p>
    <w:tbl>
      <w:tblPr>
        <w:tblW w:type="dxa" w:w="9640"/>
        <w:tblBorders>
          <w:top w:val="single" w:color="999999" w:sz="1"/>
          <w:left w:val="single" w:color="999999" w:sz="1"/>
          <w:bottom w:val="single" w:color="999999" w:sz="1"/>
          <w:right w:val="single" w:color="999999" w:sz="1"/>
          <w:insideH w:val="single" w:color="999999" w:sz="1"/>
          <w:insideV w:val="single" w:color="999999" w:sz="1"/>
        </w:tblBorders>
      </w:tblPr>
      <w:tblGrid>
        <w:gridCol w:w="2500"/>
        <w:gridCol w:w="3500"/>
        <w:gridCol w:w="3640"/>
      </w:tblGrid>
      <w:tr>
        <w:tc>
          <w:tcPr>
            <w:tcW w:type="dxa" w:w="2500"/>
            <w:shd w:fill="E8E8E8" w:val="clear"/>
            <w:vAlign w:val="center"/>
          </w:tcPr>
          <w:p>
            <w:pPr>
              <w:spacing w:after="120"/>
            </w:pPr>
            <w:r>
              <w:rPr>
                <w:rFonts w:ascii="Calibri" w:cs="Calibri" w:eastAsia="Calibri" w:hAnsi="Calibri"/>
                <w:b/>
                <w:bCs/>
                <w:sz w:val="20"/>
                <w:szCs w:val="20"/>
              </w:rPr>
              <w:t xml:space="preserve">Phase</w:t>
            </w:r>
          </w:p>
        </w:tc>
        <w:tc>
          <w:tcPr>
            <w:tcW w:type="dxa" w:w="3500"/>
            <w:shd w:fill="E8E8E8" w:val="clear"/>
            <w:vAlign w:val="center"/>
          </w:tcPr>
          <w:p>
            <w:pPr>
              <w:spacing w:after="120"/>
            </w:pPr>
            <w:r>
              <w:rPr>
                <w:rFonts w:ascii="Calibri" w:cs="Calibri" w:eastAsia="Calibri" w:hAnsi="Calibri"/>
                <w:sz w:val="20"/>
                <w:szCs w:val="20"/>
              </w:rPr>
              <w:t xml:space="preserve">Scope</w:t>
            </w:r>
          </w:p>
        </w:tc>
        <w:tc>
          <w:tcPr>
            <w:tcW w:type="dxa" w:w="3640"/>
            <w:shd w:fill="E8E8E8" w:val="clear"/>
            <w:vAlign w:val="center"/>
          </w:tcPr>
          <w:p>
            <w:pPr>
              <w:spacing w:after="120"/>
            </w:pPr>
            <w:r>
              <w:rPr>
                <w:rFonts w:ascii="Calibri" w:cs="Calibri" w:eastAsia="Calibri" w:hAnsi="Calibri"/>
                <w:sz w:val="20"/>
                <w:szCs w:val="20"/>
              </w:rPr>
              <w:t xml:space="preserve">Estimate</w:t>
            </w:r>
          </w:p>
        </w:tc>
      </w:tr>
      <w:tr>
        <w:tc>
          <w:tcPr>
            <w:tcW w:type="dxa" w:w="2500"/>
            <w:vAlign w:val="center"/>
          </w:tcPr>
          <w:p>
            <w:pPr>
              <w:spacing w:after="120"/>
            </w:pPr>
            <w:r>
              <w:rPr>
                <w:rFonts w:ascii="Calibri" w:cs="Calibri" w:eastAsia="Calibri" w:hAnsi="Calibri"/>
                <w:sz w:val="20"/>
                <w:szCs w:val="20"/>
              </w:rPr>
              <w:t xml:space="preserve">Phase 1: Core Engine</w:t>
            </w:r>
          </w:p>
        </w:tc>
        <w:tc>
          <w:tcPr>
            <w:tcW w:type="dxa" w:w="3500"/>
            <w:vAlign w:val="center"/>
          </w:tcPr>
          <w:p>
            <w:pPr>
              <w:spacing w:after="120"/>
            </w:pPr>
            <w:r>
              <w:rPr>
                <w:rFonts w:ascii="Calibri" w:cs="Calibri" w:eastAsia="Calibri" w:hAnsi="Calibri"/>
                <w:sz w:val="20"/>
                <w:szCs w:val="20"/>
              </w:rPr>
              <w:t xml:space="preserve">VolatilityOpportunityEngine: ATR percentile, gap detection, per-stock vol regime, opportunity classification. Wire into Morning Scan pipeline.</w:t>
            </w:r>
          </w:p>
        </w:tc>
        <w:tc>
          <w:tcPr>
            <w:tcW w:type="dxa" w:w="3640"/>
            <w:vAlign w:val="center"/>
          </w:tcPr>
          <w:p>
            <w:pPr>
              <w:spacing w:after="120"/>
            </w:pPr>
            <w:r>
              <w:rPr>
                <w:rFonts w:ascii="Calibri" w:cs="Calibri" w:eastAsia="Calibri" w:hAnsi="Calibri"/>
                <w:sz w:val="20"/>
                <w:szCs w:val="20"/>
              </w:rPr>
              <w:t xml:space="preserve">2-3 sessions</w:t>
            </w:r>
          </w:p>
        </w:tc>
      </w:tr>
      <w:tr>
        <w:tc>
          <w:tcPr>
            <w:tcW w:type="dxa" w:w="2500"/>
            <w:vAlign w:val="center"/>
          </w:tcPr>
          <w:p>
            <w:pPr>
              <w:spacing w:after="120"/>
            </w:pPr>
            <w:r>
              <w:rPr>
                <w:rFonts w:ascii="Calibri" w:cs="Calibri" w:eastAsia="Calibri" w:hAnsi="Calibri"/>
                <w:sz w:val="20"/>
                <w:szCs w:val="20"/>
              </w:rPr>
              <w:t xml:space="preserve">Phase 2: Scoring Integration</w:t>
            </w:r>
          </w:p>
        </w:tc>
        <w:tc>
          <w:tcPr>
            <w:tcW w:type="dxa" w:w="3500"/>
            <w:vAlign w:val="center"/>
          </w:tcPr>
          <w:p>
            <w:pPr>
              <w:spacing w:after="120"/>
            </w:pPr>
            <w:r>
              <w:rPr>
                <w:rFonts w:ascii="Calibri" w:cs="Calibri" w:eastAsia="Calibri" w:hAnsi="Calibri"/>
                <w:sz w:val="20"/>
                <w:szCs w:val="20"/>
              </w:rPr>
              <w:t xml:space="preserve">Replace VolatilityEvaluator with enhanced version. Increase max contribution 10→15. Wire opportunity types into scoring.</w:t>
            </w:r>
          </w:p>
        </w:tc>
        <w:tc>
          <w:tcPr>
            <w:tcW w:type="dxa" w:w="3640"/>
            <w:vAlign w:val="center"/>
          </w:tcPr>
          <w:p>
            <w:pPr>
              <w:spacing w:after="120"/>
            </w:pPr>
            <w:r>
              <w:rPr>
                <w:rFonts w:ascii="Calibri" w:cs="Calibri" w:eastAsia="Calibri" w:hAnsi="Calibri"/>
                <w:sz w:val="20"/>
                <w:szCs w:val="20"/>
              </w:rPr>
              <w:t xml:space="preserve">1-2 sessions</w:t>
            </w:r>
          </w:p>
        </w:tc>
      </w:tr>
      <w:tr>
        <w:tc>
          <w:tcPr>
            <w:tcW w:type="dxa" w:w="2500"/>
            <w:vAlign w:val="center"/>
          </w:tcPr>
          <w:p>
            <w:pPr>
              <w:spacing w:after="120"/>
            </w:pPr>
            <w:r>
              <w:rPr>
                <w:rFonts w:ascii="Calibri" w:cs="Calibri" w:eastAsia="Calibri" w:hAnsi="Calibri"/>
                <w:sz w:val="20"/>
                <w:szCs w:val="20"/>
              </w:rPr>
              <w:t xml:space="preserve">Phase 3: Persistence</w:t>
            </w:r>
          </w:p>
        </w:tc>
        <w:tc>
          <w:tcPr>
            <w:tcW w:type="dxa" w:w="3500"/>
            <w:vAlign w:val="center"/>
          </w:tcPr>
          <w:p>
            <w:pPr>
              <w:spacing w:after="120"/>
            </w:pPr>
            <w:r>
              <w:rPr>
                <w:rFonts w:ascii="Calibri" w:cs="Calibri" w:eastAsia="Calibri" w:hAnsi="Calibri"/>
                <w:sz w:val="20"/>
                <w:szCs w:val="20"/>
              </w:rPr>
              <w:t xml:space="preserve">Create volatility_assessments table. Save assessments during Morning Scan. Extend score_debug_json with VOE data.</w:t>
            </w:r>
          </w:p>
        </w:tc>
        <w:tc>
          <w:tcPr>
            <w:tcW w:type="dxa" w:w="3640"/>
            <w:vAlign w:val="center"/>
          </w:tcPr>
          <w:p>
            <w:pPr>
              <w:spacing w:after="120"/>
            </w:pPr>
            <w:r>
              <w:rPr>
                <w:rFonts w:ascii="Calibri" w:cs="Calibri" w:eastAsia="Calibri" w:hAnsi="Calibri"/>
                <w:sz w:val="20"/>
                <w:szCs w:val="20"/>
              </w:rPr>
              <w:t xml:space="preserve">1 session</w:t>
            </w:r>
          </w:p>
        </w:tc>
      </w:tr>
      <w:tr>
        <w:tc>
          <w:tcPr>
            <w:tcW w:type="dxa" w:w="2500"/>
            <w:vAlign w:val="center"/>
          </w:tcPr>
          <w:p>
            <w:pPr>
              <w:spacing w:after="120"/>
            </w:pPr>
            <w:r>
              <w:rPr>
                <w:rFonts w:ascii="Calibri" w:cs="Calibri" w:eastAsia="Calibri" w:hAnsi="Calibri"/>
                <w:sz w:val="20"/>
                <w:szCs w:val="20"/>
              </w:rPr>
              <w:t xml:space="preserve">Phase 4: Outcome Extension</w:t>
            </w:r>
          </w:p>
        </w:tc>
        <w:tc>
          <w:tcPr>
            <w:tcW w:type="dxa" w:w="3500"/>
            <w:vAlign w:val="center"/>
          </w:tcPr>
          <w:p>
            <w:pPr>
              <w:spacing w:after="120"/>
            </w:pPr>
            <w:r>
              <w:rPr>
                <w:rFonts w:ascii="Calibri" w:cs="Calibri" w:eastAsia="Calibri" w:hAnsi="Calibri"/>
                <w:sz w:val="20"/>
                <w:szCs w:val="20"/>
              </w:rPr>
              <w:t xml:space="preserve">Add time_to_5pct_recovery, bounce_quality_realized to outcome evaluation. Create volatility_learning_stats.</w:t>
            </w:r>
          </w:p>
        </w:tc>
        <w:tc>
          <w:tcPr>
            <w:tcW w:type="dxa" w:w="3640"/>
            <w:vAlign w:val="center"/>
          </w:tcPr>
          <w:p>
            <w:pPr>
              <w:spacing w:after="120"/>
            </w:pPr>
            <w:r>
              <w:rPr>
                <w:rFonts w:ascii="Calibri" w:cs="Calibri" w:eastAsia="Calibri" w:hAnsi="Calibri"/>
                <w:sz w:val="20"/>
                <w:szCs w:val="20"/>
              </w:rPr>
              <w:t xml:space="preserve">1-2 sessions</w:t>
            </w:r>
          </w:p>
        </w:tc>
      </w:tr>
      <w:tr>
        <w:tc>
          <w:tcPr>
            <w:tcW w:type="dxa" w:w="2500"/>
            <w:vAlign w:val="center"/>
          </w:tcPr>
          <w:p>
            <w:pPr>
              <w:spacing w:after="120"/>
            </w:pPr>
            <w:r>
              <w:rPr>
                <w:rFonts w:ascii="Calibri" w:cs="Calibri" w:eastAsia="Calibri" w:hAnsi="Calibri"/>
                <w:sz w:val="20"/>
                <w:szCs w:val="20"/>
              </w:rPr>
              <w:t xml:space="preserve">Phase 5: Learning Integration</w:t>
            </w:r>
          </w:p>
        </w:tc>
        <w:tc>
          <w:tcPr>
            <w:tcW w:type="dxa" w:w="3500"/>
            <w:vAlign w:val="center"/>
          </w:tcPr>
          <w:p>
            <w:pPr>
              <w:spacing w:after="120"/>
            </w:pPr>
            <w:r>
              <w:rPr>
                <w:rFonts w:ascii="Calibri" w:cs="Calibri" w:eastAsia="Calibri" w:hAnsi="Calibri"/>
                <w:sz w:val="20"/>
                <w:szCs w:val="20"/>
              </w:rPr>
              <w:t xml:space="preserve">Add Stage 5c to LearningEngine. Aggregate by opportunity_type × regime. Produce weight adjustments and insights.</w:t>
            </w:r>
          </w:p>
        </w:tc>
        <w:tc>
          <w:tcPr>
            <w:tcW w:type="dxa" w:w="3640"/>
            <w:vAlign w:val="center"/>
          </w:tcPr>
          <w:p>
            <w:pPr>
              <w:spacing w:after="120"/>
            </w:pPr>
            <w:r>
              <w:rPr>
                <w:rFonts w:ascii="Calibri" w:cs="Calibri" w:eastAsia="Calibri" w:hAnsi="Calibri"/>
                <w:sz w:val="20"/>
                <w:szCs w:val="20"/>
              </w:rPr>
              <w:t xml:space="preserve">1-2 sessions</w:t>
            </w:r>
          </w:p>
        </w:tc>
      </w:tr>
      <w:tr>
        <w:tc>
          <w:tcPr>
            <w:tcW w:type="dxa" w:w="2500"/>
            <w:vAlign w:val="center"/>
          </w:tcPr>
          <w:p>
            <w:pPr>
              <w:spacing w:after="120"/>
            </w:pPr>
            <w:r>
              <w:rPr>
                <w:rFonts w:ascii="Calibri" w:cs="Calibri" w:eastAsia="Calibri" w:hAnsi="Calibri"/>
                <w:sz w:val="20"/>
                <w:szCs w:val="20"/>
              </w:rPr>
              <w:t xml:space="preserve">Phase 6: Validation</w:t>
            </w:r>
          </w:p>
        </w:tc>
        <w:tc>
          <w:tcPr>
            <w:tcW w:type="dxa" w:w="3500"/>
            <w:vAlign w:val="center"/>
          </w:tcPr>
          <w:p>
            <w:pPr>
              <w:spacing w:after="120"/>
            </w:pPr>
            <w:r>
              <w:rPr>
                <w:rFonts w:ascii="Calibri" w:cs="Calibri" w:eastAsia="Calibri" w:hAnsi="Calibri"/>
                <w:sz w:val="20"/>
                <w:szCs w:val="20"/>
              </w:rPr>
              <w:t xml:space="preserve">Run 2+ weeks of Morning Scans with VOE. Compare prediction quality before/after. Verify learning convergence.</w:t>
            </w:r>
          </w:p>
        </w:tc>
        <w:tc>
          <w:tcPr>
            <w:tcW w:type="dxa" w:w="3640"/>
            <w:vAlign w:val="center"/>
          </w:tcPr>
          <w:p>
            <w:pPr>
              <w:spacing w:after="120"/>
            </w:pPr>
            <w:r>
              <w:rPr>
                <w:rFonts w:ascii="Calibri" w:cs="Calibri" w:eastAsia="Calibri" w:hAnsi="Calibri"/>
                <w:sz w:val="20"/>
                <w:szCs w:val="20"/>
              </w:rPr>
              <w:t xml:space="preserve">Ongoing</w:t>
            </w:r>
          </w:p>
        </w:tc>
      </w:tr>
    </w:tbl>
    <w:p>
      <w:pPr>
        <w:spacing w:after="120"/>
      </w:pPr>
      <w:r>
        <w:rPr>
          <w:rFonts w:ascii="Calibri" w:cs="Calibri" w:eastAsia="Calibri" w:hAnsi="Calibri"/>
          <w:sz w:val="22"/>
          <w:szCs w:val="22"/>
        </w:rPr>
        <w:t xml:space="preserve">Total estimated effort: 6-10 sessions, spread across 3-4 weeks to allow learning data accumulation between phases.</w:t>
      </w:r>
    </w:p>
    <w:p>
      <w:pPr>
        <w:pStyle w:val="Heading2"/>
        <w:spacing w:after="120" w:before="240"/>
      </w:pPr>
      <w:r>
        <w:rPr>
          <w:rFonts w:ascii="Calibri" w:cs="Calibri" w:eastAsia="Calibri" w:hAnsi="Calibri"/>
          <w:b/>
          <w:bCs/>
          <w:sz w:val="22"/>
          <w:szCs w:val="22"/>
        </w:rPr>
        <w:t xml:space="preserve">7.10 Final Recommendation</w:t>
      </w:r>
    </w:p>
    <w:p>
      <w:pPr>
        <w:spacing w:after="120"/>
      </w:pPr>
      <w:r>
        <w:rPr>
          <w:rFonts w:ascii="Calibri" w:cs="Calibri" w:eastAsia="Calibri" w:hAnsi="Calibri"/>
          <w:b/>
          <w:bCs/>
          <w:sz w:val="22"/>
          <w:szCs w:val="22"/>
        </w:rPr>
        <w:t xml:space="preserve">IMPLEMENT — as a scoring enrichment layer, not as the report's proposed standalone system.</w:t>
      </w:r>
    </w:p>
    <w:p>
      <w:pPr>
        <w:spacing w:after="120"/>
      </w:pPr>
      <w:r>
        <w:rPr>
          <w:rFonts w:ascii="Calibri" w:cs="Calibri" w:eastAsia="Calibri" w:hAnsi="Calibri"/>
          <w:sz w:val="22"/>
          <w:szCs w:val="22"/>
        </w:rPr>
        <w:t xml:space="preserve">The research correctly identifies that STOCKJAWN's volatility assessment is its weakest analytical dimension. The VolatilityEvaluator bucket is underpowered (max 10 points, Bollinger-only), ATR is computed but never contextualized, gap detection doesn't exist, and per-stock volatility regime is absent. These are genuine blind spots that reduce prediction quality for volatile stocks — exactly the stocks where good predictions matter most because the payoffs (and risks) are largest.</w:t>
      </w:r>
    </w:p>
    <w:p>
      <w:pPr>
        <w:spacing w:after="120"/>
      </w:pPr>
      <w:r>
        <w:rPr>
          <w:rFonts w:ascii="Calibri" w:cs="Calibri" w:eastAsia="Calibri" w:hAnsi="Calibri"/>
          <w:sz w:val="22"/>
          <w:szCs w:val="22"/>
        </w:rPr>
        <w:t xml:space="preserve">However, the report's proposed solution (standalone ML dip detection) is wrong for STOCKJAWN. It would duplicate the scoring pipeline, introduce an unauditable ML black box, and create a parallel prediction path that conflicts with the deterministic architecture. The right approach is to strengthen the existing pipeline: compute better volatility features, give the VolatilityEvaluator richer inputs, classify opportunity types deterministically, and let the Learning Engine discover which volatile setups are actually profitable.</w:t>
      </w:r>
    </w:p>
    <w:p>
      <w:pPr>
        <w:spacing w:after="120"/>
      </w:pPr>
      <w:r>
        <w:rPr>
          <w:rFonts w:ascii="Calibri" w:cs="Calibri" w:eastAsia="Calibri" w:hAnsi="Calibri"/>
          <w:sz w:val="22"/>
          <w:szCs w:val="22"/>
        </w:rPr>
        <w:t xml:space="preserve">The VOE turns the question from 'which stocks are volatile?' (which STOCKJAWN already knows) to 'what kind of volatility opportunity is this, and should we act on it?' That is the gap worth closing.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sz w:val="18"/>
        <w:szCs w:val="18"/>
      </w:rPr>
      <w:t xml:space="preserve">STOCKJAWN — Volatility Opportunity Engine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2026-07-14T21:15:09.439Z</dcterms:created>
  <dcterms:modified xsi:type="dcterms:W3CDTF">2026-07-14T21:15:09.439Z</dcterms:modified>
</cp:coreProperties>
</file>

<file path=docProps/custom.xml><?xml version="1.0" encoding="utf-8"?>
<Properties xmlns="http://schemas.openxmlformats.org/officeDocument/2006/custom-properties" xmlns:vt="http://schemas.openxmlformats.org/officeDocument/2006/docPropsVTypes"/>
</file>