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数据字典模板</w:t>
      </w:r>
    </w:p>
    <w:p>
      <w:pPr>
        <w:pStyle w:val="Normal"/>
        <w:ind w:left="280" w:hanging="0"/>
        <w:jc w:val="center"/>
        <w:rPr>
          <w:rFonts w:ascii="宋体" w:hAnsi="宋体" w:eastAsia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原始数据集字段（英文 → 中文映射）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字段英文名</w:t>
            </w:r>
          </w:p>
        </w:tc>
        <w:tc>
          <w:tcPr>
            <w:tcW w:w="143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字段中文名</w:t>
            </w:r>
          </w:p>
        </w:tc>
        <w:tc>
          <w:tcPr>
            <w:tcW w:w="1441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数据类型</w:t>
            </w:r>
          </w:p>
        </w:tc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说明</w:t>
            </w: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取值</w:t>
            </w:r>
          </w:p>
        </w:tc>
        <w:tc>
          <w:tcPr>
            <w:tcW w:w="143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是否入库</w:t>
            </w:r>
          </w:p>
        </w:tc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Age Group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年龄组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VARCHAR(32)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取值：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0 to 17 / 18 to 29 / 30 to 49 / 50 to 69 / 70 or Older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age_group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性别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CHAR(1)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M=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男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 F=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女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gender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Race / Ethnicity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种族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民族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VARCHAR(64)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种族与民族描述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race / ethnicity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（分两列）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Zip Code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邮编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CHAR(3)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邮编前三位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zip3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 Diagnosis Code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诊断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编码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VARCHAR(16)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CCSR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诊断代码（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477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项）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dim_ccsr_diagnosis.ccsr_code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 Diagnosis Description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诊断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描述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VARCHAR(255)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诊断描述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dim_ccsr_diagnosis.description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 Procedure Code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手术操作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CCSR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编码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VARCHAR(16)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CCSR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操作代码（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320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项）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dim_ccsr_procedure.ccsr_code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APR DRG / MDC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APR DRG/MDC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VARCHAR(16)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DRG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代码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/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主要诊断类别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dim_apr_drg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Severity of Illness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病情严重程度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TINYINT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1–4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级（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Minor/Moderate/Major/Extreme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apr_severity_code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Risk of Mortality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死亡风险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VARCHAR(32)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Minor/Moderate/Major/Extreme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apr_risk_mortality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Payment Typology 1/2/3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支付方式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1/2/3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级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VARCHAR(64)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支付方式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1/2/3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级（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9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类）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payment_typology_1/2/3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Birth Weight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出生体重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出生体重（克），非新生儿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NULL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birth_weight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Emergency Department Indicator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急诊标识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CHAR(1)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Y=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急诊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 N=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非急诊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ed_indicator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Length of Stay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住院天数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住院天数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length_of_stay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Total Charges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总费用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DECIMAL(14,2)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总费用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total_charges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Total Costs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总成本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DECIMAL(14,2)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总成本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total_costs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Discharge Year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出院年份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SMALLINT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出院年份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discharge_year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Type of Admission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入院类型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VARCHAR(64)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入院类型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type_of_admission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Patient Disposition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离院去向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VARCHAR(128)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离院去向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patient_disposition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APR Medical/Surgical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内科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外科分类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VARCHAR(32)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内科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/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外科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apr_medical_surgical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 xml:space="preserve">入库表结构（与 </w:t>
      </w:r>
      <w:r>
        <w:rPr>
          <w:rFonts w:eastAsia="宋体"/>
          <w:b/>
          <w:color w:val="000000"/>
          <w:sz w:val="32"/>
        </w:rPr>
        <w:t xml:space="preserve">schema.sql </w:t>
      </w:r>
      <w:r>
        <w:rPr>
          <w:rFonts w:ascii="宋体" w:hAnsi="宋体"/>
          <w:b/>
          <w:color w:val="000000"/>
          <w:sz w:val="32"/>
        </w:rPr>
        <w:t>对应）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表名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说明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主键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关键字段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索引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dim_facility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医疗机构维度表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facility_id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facility_name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operating_cert_number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hospital_county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service_area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uk_facility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idx_facility_county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idx_facility_area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dim_ccsr_diagnosis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CCSR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诊断字典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diagnosis_id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ccsr_code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uk_ccsr_diag_code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dim_ccsr_procedure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CCSR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操作字典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procedure_id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ccsr_code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uk_ccsr_proc_code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dim_apr_drg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APR DRG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drg_id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apr_drg_code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apr_drg_desc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apr_mdc_code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apr_mdc_desc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idx_drg_mdc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fact_inpatient_discharge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住院出院事实表（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200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万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record_id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facility_id/diagnosis_id/procedure_id/drg_id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age_group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gender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length_of_stay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discharge_year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payment_typology_1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total_charges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total_costs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idx_year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idx_age_group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idx_diag_code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idx_payment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idx_severity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idx_pay1_pay2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idx_age_gender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数据口径约定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口径定义</w:t>
            </w:r>
          </w:p>
        </w:tc>
        <w:tc>
          <w:tcPr>
            <w:tcW w:w="288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平均住院时长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AVG(length_of_stay)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，按维度分组后取均值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分组维度：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ccsr_diagnosis / age_group / facility / discharge_year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等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费用分布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SUM(total_charges) / SUM(total_costs)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按维度汇总，或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AVG(avg_charges)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金额用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DECIMAL(14,2)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，避免浮点误差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支付方式占比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COUNT(*) by payment_typology_1 /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总记录数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× 100%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用窗口函数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SUM(COUNT(*)) OVER()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计算占比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626</Words>
  <Characters>2183</Characters>
  <CharactersWithSpaces>2303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2026-08-18T11:15:14Z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