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/>
      </w:pPr>
      <w:r>
        <w:rPr>
          <w:rFonts w:ascii="宋体" w:hAnsi="宋体"/>
          <w:b/>
          <w:color w:val="000000"/>
          <w:sz w:val="44"/>
        </w:rPr>
        <w:t>验收清单</w:t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验收项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053"/>
        <w:gridCol w:w="1827"/>
        <w:gridCol w:w="2879"/>
      </w:tblGrid>
      <w:tr>
        <w:trPr/>
        <w:tc>
          <w:tcPr>
            <w:tcW w:w="144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1053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1827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验收项</w:t>
            </w:r>
          </w:p>
        </w:tc>
        <w:tc>
          <w:tcPr>
            <w:tcW w:w="287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验收标准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数据完整性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200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万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条清洗入库，缺失率合理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数据准确性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抽样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万条对账准确性≥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99.9%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功能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模块一功能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读取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清洗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去重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标准化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入库全部可用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功能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模块二功能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聚合分析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算法封装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/API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可用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功能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模块三功能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意图解析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文本生成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图表渲染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/Web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界面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功能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增强功能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质量评估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复杂分析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多轮对话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进阶可视化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一致性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结果一致性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同一查询下分析结果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摘要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图表一致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交互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查询响应时间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自然语言查询响应时间合理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交互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图表渲染流畅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图表渲染流畅、无卡顿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交互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意图识别准确率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准确率≥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90%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工程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代码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提交规范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Git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提交规范、代码规范达标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工程</w:t>
            </w:r>
          </w:p>
        </w:tc>
        <w:tc>
          <w:tcPr>
            <w:tcW w:w="1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1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过程文档齐全</w:t>
            </w:r>
          </w:p>
        </w:tc>
        <w:tc>
          <w:tcPr>
            <w:tcW w:w="2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需求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设计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接口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测试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验收文档齐全可追溯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验收结论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项</w:t>
            </w:r>
          </w:p>
        </w:tc>
        <w:tc>
          <w:tcPr>
            <w:tcW w:w="431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内容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验收结论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基本通过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遗留问题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无（意图识别准确率待验证）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验收人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P1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万方（组长）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宋体" w:hAnsi="宋体" w:eastAsia="宋体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332</Words>
  <Characters>354</Characters>
  <CharactersWithSpaces>355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2026-08-18T11:16:38Z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