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宋体" w:hAnsi="宋体" w:eastAsia="宋体"/>
          <w:b/>
          <w:color w:val="000000"/>
          <w:sz w:val="44"/>
        </w:rPr>
        <w:t>需求跟踪矩阵（RTM）</w:t>
      </w:r>
    </w:p>
    <w:p>
      <w:pPr>
        <w:ind w:left="280"/>
        <w:jc w:val="center"/>
      </w:pPr>
      <w:r>
        <w:rPr>
          <w:rFonts w:ascii="宋体" w:hAnsi="宋体" w:eastAsia="宋体"/>
          <w:b w:val="0"/>
          <w:i w:val="0"/>
          <w:color w:val="595959"/>
          <w:sz w:val="24"/>
        </w:rPr>
        <w:t>填写说明：用于追踪"需求 → 设计 → 实现 → 测试"的覆盖关系，确保每个需求都被实现和验证。</w:t>
      </w:r>
    </w:p>
    <w:p>
      <w:pPr>
        <w:ind w:left="280"/>
        <w:jc w:val="center"/>
      </w:pPr>
      <w:r>
        <w:rPr>
          <w:rFonts w:ascii="宋体" w:hAnsi="宋体" w:eastAsia="宋体"/>
          <w:b w:val="0"/>
          <w:i w:val="0"/>
          <w:color w:val="595959"/>
          <w:sz w:val="24"/>
        </w:rPr>
        <w:t>需求编号规则：模块-序号，如 M1-01（模块一第 1 条需求）。</w:t>
      </w:r>
    </w:p>
    <w:p>
      <w:pPr>
        <w:spacing w:before="200" w:after="120"/>
      </w:pPr>
      <w:r>
        <w:rPr>
          <w:rFonts w:ascii="宋体" w:hAnsi="宋体" w:eastAsia="宋体"/>
          <w:b/>
          <w:color w:val="000000"/>
          <w:sz w:val="32"/>
        </w:rPr>
        <w:t>需求项列表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需求编号</w:t>
            </w:r>
          </w:p>
        </w:tc>
        <w:tc>
          <w:tcPr>
            <w:tcW w:type="dxa" w:w="9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需求描述</w:t>
            </w:r>
          </w:p>
        </w:tc>
        <w:tc>
          <w:tcPr>
            <w:tcW w:type="dxa" w:w="9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9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所属模块</w:t>
            </w:r>
          </w:p>
        </w:tc>
        <w:tc>
          <w:tcPr>
            <w:tcW w:type="dxa" w:w="9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责任人</w:t>
            </w:r>
          </w:p>
        </w:tc>
        <w:tc>
          <w:tcPr>
            <w:tcW w:type="dxa" w:w="9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对应设计</w:t>
            </w:r>
          </w:p>
        </w:tc>
        <w:tc>
          <w:tcPr>
            <w:tcW w:type="dxa" w:w="9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对应代码</w:t>
            </w:r>
          </w:p>
        </w:tc>
        <w:tc>
          <w:tcPr>
            <w:tcW w:type="dxa" w:w="9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960"/>
            <w:shd w:val="clear" w:color="auto" w:fill="EFEFEF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M1-01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大数据批量读取（TSV/CSV，分块，避免OOM）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模块一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M1-02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缺失值/异常值处理（业务规则）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模块一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M1-03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数据去重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模块一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M1-04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数据类型标准化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模块一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M1-05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结构化入库+索引优化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模块一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M2-01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多维度聚合分析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模块二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P3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M2-02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大数据算法封装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模块二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P3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M2-03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RESTful API + JSON标准化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模块二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P3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M3-01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意图识别与智能工具调用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模块三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M3-02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分析结果文本生成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模块三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M3-03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可视化图表渲染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模块三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M3-04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Web聊天式交互界面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模块三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M1-06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数据质量评估（二期）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模块一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M1-07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备份与恢复 / 增量更新（二期）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模块一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M2-04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复杂分析：疾病关联/费用预测/再入院风险（二期）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模块二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P3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M3-05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意图优化 / 多轮对话 / LLM本地化（二期）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模块三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P4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  <w:tr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M3-06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3D/地理/时序可视化（二期）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模块三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  <w:b w:val="0"/>
                <w:sz w:val="20"/>
              </w:rPr>
              <w:t>P5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</w:rPr>
            </w:r>
            <w:r>
              <w:rPr>
                <w:rFonts w:ascii="宋体" w:hAnsi="宋体" w:eastAsia="宋体"/>
              </w:rPr>
            </w:r>
          </w:p>
        </w:tc>
      </w:tr>
    </w:tbl>
    <w:p>
      <w:pPr>
        <w:spacing w:after="40"/>
      </w:pPr>
    </w:p>
    <w:p>
      <w:pPr>
        <w:ind w:left="280"/>
      </w:pPr>
      <w:r>
        <w:rPr>
          <w:rFonts w:ascii="宋体" w:hAnsi="宋体" w:eastAsia="宋体"/>
          <w:b w:val="0"/>
          <w:i/>
          <w:color w:val="595959"/>
        </w:rPr>
        <w:t>状态：未开始 / 设计中 / 开发中 / 已实现 / 已测试 / 已验收。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