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测试用例模板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填写说明：由各模块负责人编写，P1 汇总。优先级：高/中/低。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覆盖一期与二期核心功能。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前置条件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操作步骤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测试人</w:t>
            </w:r>
          </w:p>
        </w:tc>
        <w:tc>
          <w:tcPr>
            <w:tcW w:type="dxa" w:w="86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TC-001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大数据批量读取（20万条样例）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提供样例CSV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执行读取脚本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无卡顿/OOM，记录数正确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TC-002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缺失值处理（非新生儿Birth Weight置N/A）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含非新生儿记录的样例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执行清洗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非新生儿Birth Weight为N/A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TC-003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去重（重复住院记录）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含重复记录的样例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执行去重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主键无重复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TC-004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按疾病聚合分析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已入库数据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调用聚合API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返回均值/占比正确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TC-005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API返回JSON信封标准化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服务运行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发起请求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返回结构符合契约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TC-006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自然语言意图解析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Agent运行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输入"2021年哪类疾病住院费用最高"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正确解析维度/指标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TC-007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文本生成与图表配置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已调用API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观察返回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文字摘要+图表配置一致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TC-008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Web界面图表渲染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前端运行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输入问题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图表正确渲染、流畅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TC-009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TC-010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ind w:left="280"/>
      </w:pPr>
      <w:r>
        <w:rPr>
          <w:rFonts w:ascii="宋体" w:hAnsi="宋体" w:eastAsia="宋体"/>
          <w:b w:val="0"/>
          <w:i/>
          <w:color w:val="595959"/>
        </w:rPr>
        <w:t>结论：通过 / 不通过 / 阻塞。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测试汇总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用例总数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不通过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阻塞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