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宋体" w:hAnsi="宋体" w:eastAsia="宋体"/>
          <w:b/>
          <w:color w:val="000000"/>
          <w:sz w:val="44"/>
        </w:rPr>
        <w:t>数据字典模板</w:t>
      </w:r>
    </w:p>
    <w:p>
      <w:pPr>
        <w:ind w:left="280"/>
        <w:jc w:val="center"/>
      </w:pPr>
      <w:r>
        <w:rPr>
          <w:rFonts w:ascii="宋体" w:hAnsi="宋体" w:eastAsia="宋体"/>
          <w:b w:val="0"/>
          <w:i w:val="0"/>
          <w:color w:val="595959"/>
          <w:sz w:val="24"/>
        </w:rPr>
        <w:t>填写说明：由 P2 结合原始数据集字段与入库表结构维护，中英文对照，供全员统一口径。</w:t>
      </w: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原始数据集字段（英文 → 中文映射）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字段英文名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字段中文名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说明/取值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是否入库</w:t>
            </w:r>
          </w:p>
        </w:tc>
        <w:tc>
          <w:tcPr>
            <w:tcW w:type="dxa" w:w="144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Age Group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年龄组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Gender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性别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Race / Ethnicity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种族/民族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Zip Code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邮编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CCSR Diagnosis Code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诊断CCSR编码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CCSR Diagnosis Description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诊断CCSR描述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CCSR Procedure Code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手术操作CCSR编码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APR DRG / MDC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APR DRG/MDC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Severity of Illness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病情严重程度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Risk of Mortality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死亡风险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Payment Typology 1/2/3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支付方式1/2/3级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Birth Weight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出生体重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非新生儿置 N/A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Emergency Department Indicator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急诊标识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Length of Stay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住院天数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Total Charges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总费用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去逗号转浮点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Total Costs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总成本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（补充其他字段）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入库表结构（与 schema.sql 对应）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表名</w:t>
            </w:r>
          </w:p>
        </w:tc>
        <w:tc>
          <w:tcPr>
            <w:tcW w:type="dxa" w:w="1728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  <w:tc>
          <w:tcPr>
            <w:tcW w:type="dxa" w:w="1728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主键</w:t>
            </w:r>
          </w:p>
        </w:tc>
        <w:tc>
          <w:tcPr>
            <w:tcW w:type="dxa" w:w="1728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关键字段</w:t>
            </w:r>
          </w:p>
        </w:tc>
        <w:tc>
          <w:tcPr>
            <w:tcW w:type="dxa" w:w="1728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索引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数据口径约定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口径定义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平均住院时长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费用分布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支付方式占比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