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宋体" w:hAnsi="宋体" w:eastAsia="宋体"/>
          <w:b/>
          <w:color w:val="000000"/>
          <w:sz w:val="44"/>
        </w:rPr>
        <w:t>验收清单</w:t>
      </w:r>
    </w:p>
    <w:p>
      <w:pPr>
        <w:ind w:left="280"/>
        <w:jc w:val="center"/>
      </w:pPr>
      <w:r>
        <w:rPr>
          <w:rFonts w:ascii="宋体" w:hAnsi="宋体" w:eastAsia="宋体"/>
          <w:b w:val="0"/>
          <w:i w:val="0"/>
          <w:color w:val="595959"/>
          <w:sz w:val="24"/>
        </w:rPr>
        <w:t>填写说明：最终验收前由组长牵头逐项核对，勾选确认。验收结论：通过 / 有条件通过 / 不通过。</w:t>
      </w: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验收项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验收项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验收标准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数据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数据完整性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200万+条清洗入库，缺失率合理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□通过 □不通过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数据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数据准确性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抽样1万条对账准确性≥99.9%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□通过 □不通过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模块一一期功能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读取/清洗/去重/标准化/入库全部可用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□通过 □不通过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模块二一期功能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聚合分析/算法封装/API可用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□通过 □不通过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模块三一期功能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意图解析/文本生成/图表渲染/Web界面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□通过 □不通过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二期增强功能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质量评估/复杂分析/多轮对话/进阶可视化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□通过 □不通过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一致性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结果一致性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同一查询下分析结果/摘要/图表一致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□通过 □不通过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交互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查询响应时间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自然语言查询响应时间合理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□通过 □不通过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交互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图表渲染流畅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图表渲染流畅、无卡顿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□通过 □不通过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交互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意图识别准确率（二期）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准确率≥90%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□通过 □不通过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工程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代码/提交规范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Git提交规范、代码规范达标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□通过 □不通过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工程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过程文档齐全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需求/设计/接口/测试/验收文档齐全可追溯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□通过 □不通过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验收结论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项</w:t>
            </w:r>
          </w:p>
        </w:tc>
        <w:tc>
          <w:tcPr>
            <w:tcW w:type="dxa" w:w="432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验收结论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□通过 □有条件通过 □不通过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遗留问题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验收人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