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自习室预约系统项目开发计划"/>
    <w:p>
      <w:pPr>
        <w:pStyle w:val="Heading1"/>
      </w:pPr>
      <w:r>
        <w:t xml:space="preserve">自习室预约系统——项目开发计划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6803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项目属性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项目名称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高校自习室预约与考勤管理系统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计划版本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V1.0（8 周）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项目类型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软件工程综合实践：前后端分离 Web 系统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适用团队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3 人（已确认）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版本管理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Git / GitHub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时间基准</w:t>
            </w:r>
          </w:p>
        </w:tc>
        <w:tc>
          <w:tcPr>
            <w:tcW w:type="dxa" w:w="6803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W1—W8 共 8 周（已确认）；具体日历日期按课程安排填写</w:t>
            </w:r>
          </w:p>
        </w:tc>
      </w:tr>
    </w:tbl>
    <w:bookmarkStart w:id="23" w:name="目标与交付范围"/>
    <w:p>
      <w:pPr>
        <w:pStyle w:val="Heading2"/>
      </w:pPr>
      <w:r>
        <w:t xml:space="preserve">1. 目标与交付范围</w:t>
      </w:r>
    </w:p>
    <w:bookmarkStart w:id="20" w:name="项目目标"/>
    <w:p>
      <w:pPr>
        <w:pStyle w:val="Heading3"/>
      </w:pPr>
      <w:r>
        <w:t xml:space="preserve">1.1 项目目标</w:t>
      </w:r>
    </w:p>
    <w:p>
      <w:pPr>
        <w:pStyle w:val="FirstParagraph"/>
      </w:pPr>
      <w:r>
        <w:t xml:space="preserve">以校园自习室为对象，建立学生端与管理员端共用浏览器的在线预约与考勤管理系统。完整经历</w:t>
      </w:r>
      <w:r>
        <w:rPr>
          <w:b/>
          <w:bCs/>
        </w:rPr>
        <w:t xml:space="preserve">选题—需求—设计—实现—测试—验收</w:t>
      </w:r>
      <w:r>
        <w:t xml:space="preserve">软件工程过程，形成可追踪需求、可运行软件、可复现测试证据及项目总结。</w:t>
      </w:r>
    </w:p>
    <w:bookmarkEnd w:id="20"/>
    <w:bookmarkStart w:id="21" w:name="验收的最小业务闭环"/>
    <w:p>
      <w:pPr>
        <w:pStyle w:val="Heading3"/>
      </w:pPr>
      <w:r>
        <w:t xml:space="preserve">1.2 验收的最小业务闭环</w:t>
      </w:r>
    </w:p>
    <w:p>
      <w:pPr>
        <w:pStyle w:val="FirstParagraph"/>
      </w:pPr>
      <w:r>
        <w:rPr>
          <w:b/>
          <w:bCs/>
        </w:rPr>
        <w:t xml:space="preserve">登录 → 查询可用座位 → 提交分时预约 → 现场签到 → 主动签退 / 超时自动释放 → 历史订单可查询</w:t>
      </w:r>
      <w:r>
        <w:t xml:space="preserve">。管理端至少能够维护自习室与座位，且学生端无法越权访问管理员 API。对同一座位重叠时段的并发预约，必须保证只有一个请求成功。</w:t>
      </w:r>
    </w:p>
    <w:bookmarkEnd w:id="21"/>
    <w:bookmarkStart w:id="22" w:name="优先级与范围控制"/>
    <w:p>
      <w:pPr>
        <w:pStyle w:val="Heading3"/>
      </w:pPr>
      <w:r>
        <w:t xml:space="preserve">1.3 优先级与范围控制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969"/>
        <w:gridCol w:w="3969"/>
      </w:tblGrid>
      <w:tr>
        <w:trPr>
          <w:cantSplit/>
          <w:tblHeader w:val="true"/>
        </w:trPr>
        <w:tc>
          <w:tcPr>
            <w:tcW w:type="dxa" w:w="119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优先级</w:t>
            </w:r>
          </w:p>
        </w:tc>
        <w:tc>
          <w:tcPr>
            <w:tcW w:type="dxa" w:w="3969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内容</w:t>
            </w:r>
          </w:p>
        </w:tc>
        <w:tc>
          <w:tcPr>
            <w:tcW w:type="dxa" w:w="3969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退出准则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P0 必须</w:t>
            </w:r>
          </w:p>
        </w:tc>
        <w:tc>
          <w:tcPr>
            <w:tcW w:type="dxa" w:w="3969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鉴权、角色权限、座位检索、预约事务、签到/签退、超时释放、资源维护</w:t>
            </w:r>
          </w:p>
        </w:tc>
        <w:tc>
          <w:tcPr>
            <w:tcW w:type="dxa" w:w="3969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主链路联调通过且无重叠有效订单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P1 推荐</w:t>
            </w:r>
          </w:p>
        </w:tc>
        <w:tc>
          <w:tcPr>
            <w:tcW w:type="dxa" w:w="3969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暂离回座、信用流水、申诉审核、规则配置</w:t>
            </w:r>
          </w:p>
        </w:tc>
        <w:tc>
          <w:tcPr>
            <w:tcW w:type="dxa" w:w="3969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状态迁移与信用幂等测试通过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P2 扩展</w:t>
            </w:r>
          </w:p>
        </w:tc>
        <w:tc>
          <w:tcPr>
            <w:tcW w:type="dxa" w:w="3969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运营图表、公告、批量座位标签与优化 UI</w:t>
            </w:r>
          </w:p>
        </w:tc>
        <w:tc>
          <w:tcPr>
            <w:tcW w:type="dxa" w:w="3969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不阻塞 P0/P1 交付</w:t>
            </w:r>
          </w:p>
        </w:tc>
      </w:tr>
    </w:tbl>
    <w:bookmarkEnd w:id="22"/>
    <w:bookmarkEnd w:id="23"/>
    <w:bookmarkStart w:id="24" w:name="技术方案与环境待团队确认"/>
    <w:p>
      <w:pPr>
        <w:pStyle w:val="Heading2"/>
      </w:pPr>
      <w:r>
        <w:t xml:space="preserve">2. 技术方案与环境（待团队确认）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742"/>
        <w:gridCol w:w="4082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层次</w:t>
            </w:r>
          </w:p>
        </w:tc>
        <w:tc>
          <w:tcPr>
            <w:tcW w:type="dxa" w:w="3742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推荐方案</w:t>
            </w:r>
          </w:p>
        </w:tc>
        <w:tc>
          <w:tcPr>
            <w:tcW w:type="dxa" w:w="4082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type="dxa" w:w="3742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Vue 3、Vite、Vue Router、Element Plus</w:t>
            </w:r>
          </w:p>
        </w:tc>
        <w:tc>
          <w:tcPr>
            <w:tcW w:type="dxa" w:w="4082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双角色页面复用、开发快、适合课程演示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后端</w:t>
            </w:r>
          </w:p>
        </w:tc>
        <w:tc>
          <w:tcPr>
            <w:tcW w:type="dxa" w:w="3742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Java 17、Spring Boot 3、Spring Security、MyBatis/JPA（二选一）</w:t>
            </w:r>
          </w:p>
        </w:tc>
        <w:tc>
          <w:tcPr>
            <w:tcW w:type="dxa" w:w="4082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身份鉴权、事务、定时任务和接口测试成熟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数据库</w:t>
            </w:r>
          </w:p>
        </w:tc>
        <w:tc>
          <w:tcPr>
            <w:tcW w:type="dxa" w:w="3742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MySQL 8</w:t>
            </w:r>
          </w:p>
        </w:tc>
        <w:tc>
          <w:tcPr>
            <w:tcW w:type="dxa" w:w="4082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事务与行锁，支持预约并发一致性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接口联调</w:t>
            </w:r>
          </w:p>
        </w:tc>
        <w:tc>
          <w:tcPr>
            <w:tcW w:type="dxa" w:w="3742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REST/JSON、OpenAPI/Swagger、Postman</w:t>
            </w:r>
          </w:p>
        </w:tc>
        <w:tc>
          <w:tcPr>
            <w:tcW w:type="dxa" w:w="4082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接口与测试可复现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质量工具</w:t>
            </w:r>
          </w:p>
        </w:tc>
        <w:tc>
          <w:tcPr>
            <w:tcW w:type="dxa" w:w="3742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Git、GitHub、JUnit、接口测试工具、基础负载测试</w:t>
            </w:r>
          </w:p>
        </w:tc>
        <w:tc>
          <w:tcPr>
            <w:tcW w:type="dxa" w:w="4082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支持代码审查和第三阶段测试汇报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部署</w:t>
            </w:r>
          </w:p>
        </w:tc>
        <w:tc>
          <w:tcPr>
            <w:tcW w:type="dxa" w:w="3742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单机开发机或云主机、前端静态构建、后端服务、数据库</w:t>
            </w:r>
          </w:p>
        </w:tc>
        <w:tc>
          <w:tcPr>
            <w:tcW w:type="dxa" w:w="4082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不引入课程范围外的微服务复杂度</w:t>
            </w:r>
          </w:p>
        </w:tc>
      </w:tr>
    </w:tbl>
    <w:p>
      <w:pPr>
        <w:pStyle w:val="BodyText"/>
      </w:pPr>
      <w:r>
        <w:t xml:space="preserve">技术选型为</w:t>
      </w:r>
      <w:r>
        <w:rPr>
          <w:b/>
          <w:bCs/>
        </w:rPr>
        <w:t xml:space="preserve">建议而非源方案既定事实</w:t>
      </w:r>
      <w:r>
        <w:t xml:space="preserve">；在 W2 评审后冻结，并在《系统设计说明书》中明确最终版本。</w:t>
      </w:r>
    </w:p>
    <w:bookmarkEnd w:id="24"/>
    <w:bookmarkStart w:id="27" w:name="组织结构职责与协作"/>
    <w:p>
      <w:pPr>
        <w:pStyle w:val="Heading2"/>
      </w:pPr>
      <w:r>
        <w:t xml:space="preserve">3. 组织结构、职责与协作</w:t>
      </w:r>
    </w:p>
    <w:bookmarkStart w:id="25" w:name="责任分配按-5-人示例可增加第-6-人"/>
    <w:p>
      <w:pPr>
        <w:pStyle w:val="Heading3"/>
      </w:pPr>
      <w:r>
        <w:t xml:space="preserve">3.1 责任分配（3 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98"/>
        <w:gridCol w:w="3628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职位代号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主要职责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主要交付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R1 组长/需求与测试统筹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范围管理、SRS、用例、需求评审、接口与集成测试、缺陷跟踪、部署脚本、答辩协调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SRS、计划、需求追踪矩阵、测试报告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R2 前端负责人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学生/管理员页面、路由鉴权、交互和原型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UI 原型、前端源代码、页面测试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R3 后端与数据负责人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数据库建模、预约事务、冲突检测、订单状态机、定时任务、信用申诉、管理员接口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ER 图、SQL、核心业务接口、并发测试</w:t>
            </w:r>
          </w:p>
        </w:tc>
      </w:tr>
    </w:tbl>
    <w:p>
      <w:pPr>
        <w:pStyle w:val="BodyText"/>
      </w:pPr>
      <w:r>
        <w:t xml:space="preserve">本项目按 3 人组队，已将原 5 人示例中的 R1+R5 合并为“组长/需求与测试统筹”、R3+R4 合并为“后端与数据负责人”，并相应压缩 P2 范围。</w:t>
      </w:r>
      <w:r>
        <w:rPr>
          <w:b/>
          <w:bCs/>
        </w:rPr>
        <w:t xml:space="preserve">最终成员姓名与责任归属必须在实际立项后填写。</w:t>
      </w:r>
    </w:p>
    <w:bookmarkEnd w:id="25"/>
    <w:bookmarkStart w:id="26" w:name="开发协作约定"/>
    <w:p>
      <w:pPr>
        <w:pStyle w:val="Heading3"/>
      </w:pPr>
      <w:r>
        <w:t xml:space="preserve">3.2 开发协作约定</w:t>
      </w:r>
    </w:p>
    <w:p>
      <w:pPr>
        <w:pStyle w:val="Compact"/>
        <w:numPr>
          <w:ilvl w:val="0"/>
          <w:numId w:val="1001"/>
        </w:numPr>
      </w:pPr>
      <w:r>
        <w:t xml:space="preserve">Git 主分支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保持可演示；开发走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 </w:t>
      </w:r>
      <w:r>
        <w:t xml:space="preserve">分支和 Pull Request；合并前至少一名同伴审阅。</w:t>
      </w:r>
    </w:p>
    <w:p>
      <w:pPr>
        <w:pStyle w:val="Compact"/>
        <w:numPr>
          <w:ilvl w:val="0"/>
          <w:numId w:val="1001"/>
        </w:numPr>
      </w:pPr>
      <w:r>
        <w:t xml:space="preserve">每周至少 1 次组会记录已完成事项、阻塞问题、决策和下周计划。</w:t>
      </w:r>
    </w:p>
    <w:p>
      <w:pPr>
        <w:pStyle w:val="Compact"/>
        <w:numPr>
          <w:ilvl w:val="0"/>
          <w:numId w:val="1001"/>
        </w:numPr>
      </w:pPr>
      <w:r>
        <w:t xml:space="preserve">所有功能都关联需求 ID、任务 ID、提交 ID 和测试用例 ID，避免出现“完成了页面但未覆盖需求”。</w:t>
      </w:r>
    </w:p>
    <w:p>
      <w:pPr>
        <w:pStyle w:val="Compact"/>
        <w:numPr>
          <w:ilvl w:val="0"/>
          <w:numId w:val="1001"/>
        </w:numPr>
      </w:pPr>
      <w:r>
        <w:t xml:space="preserve">数据库表结构变更使用版本化 SQL 文件，开发环境须支持一键初始化最小演示数据。</w:t>
      </w:r>
    </w:p>
    <w:bookmarkEnd w:id="26"/>
    <w:bookmarkEnd w:id="27"/>
    <w:bookmarkStart w:id="29" w:name="工作分解结构wbs与工期"/>
    <w:p>
      <w:pPr>
        <w:pStyle w:val="Heading2"/>
      </w:pPr>
      <w:r>
        <w:t xml:space="preserve">4. 工作分解结构（WBS）与工期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608"/>
        <w:gridCol w:w="1417"/>
        <w:gridCol w:w="794"/>
        <w:gridCol w:w="3628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WBS</w:t>
            </w:r>
          </w:p>
        </w:tc>
        <w:tc>
          <w:tcPr>
            <w:tcW w:type="dxa" w:w="260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工作包</w:t>
            </w:r>
          </w:p>
        </w:tc>
        <w:tc>
          <w:tcPr>
            <w:tcW w:type="dxa" w:w="141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责任角色</w:t>
            </w:r>
          </w:p>
        </w:tc>
        <w:tc>
          <w:tcPr>
            <w:tcW w:type="dxa" w:w="79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周次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核心输出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1.1</w:t>
            </w:r>
          </w:p>
        </w:tc>
        <w:tc>
          <w:tcPr>
            <w:tcW w:type="dxa" w:w="260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选题与可行性评审</w:t>
            </w:r>
          </w:p>
        </w:tc>
        <w:tc>
          <w:tcPr>
            <w:tcW w:type="dxa" w:w="141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R1 + 全员</w:t>
            </w:r>
          </w:p>
        </w:tc>
        <w:tc>
          <w:tcPr>
            <w:tcW w:type="dxa" w:w="79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W1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项目边界、风险和范围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1.2</w:t>
            </w:r>
          </w:p>
        </w:tc>
        <w:tc>
          <w:tcPr>
            <w:tcW w:type="dxa" w:w="260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访谈/角色与流程梳理、规则冻结</w:t>
            </w:r>
          </w:p>
        </w:tc>
        <w:tc>
          <w:tcPr>
            <w:tcW w:type="dxa" w:w="141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 xml:space="preserve">R1 + R3</w:t>
            </w:r>
          </w:p>
        </w:tc>
        <w:tc>
          <w:tcPr>
            <w:tcW w:type="dxa" w:w="79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W1—W2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SRS、用例图、需求确认记录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1.3</w:t>
            </w:r>
          </w:p>
        </w:tc>
        <w:tc>
          <w:tcPr>
            <w:tcW w:type="dxa" w:w="260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任务拆解与计划评审</w:t>
            </w:r>
          </w:p>
        </w:tc>
        <w:tc>
          <w:tcPr>
            <w:tcW w:type="dxa" w:w="141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 xml:space="preserve">R1</w:t>
            </w:r>
          </w:p>
        </w:tc>
        <w:tc>
          <w:tcPr>
            <w:tcW w:type="dxa" w:w="79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W2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WBS、里程碑和 Git 规范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2.1</w:t>
            </w:r>
          </w:p>
        </w:tc>
        <w:tc>
          <w:tcPr>
            <w:tcW w:type="dxa" w:w="260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体系结构/REST API 设计</w:t>
            </w:r>
          </w:p>
        </w:tc>
        <w:tc>
          <w:tcPr>
            <w:tcW w:type="dxa" w:w="141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 xml:space="preserve">R3</w:t>
            </w:r>
          </w:p>
        </w:tc>
        <w:tc>
          <w:tcPr>
            <w:tcW w:type="dxa" w:w="79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W3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设计说明、接口清单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2.2</w:t>
            </w:r>
          </w:p>
        </w:tc>
        <w:tc>
          <w:tcPr>
            <w:tcW w:type="dxa" w:w="260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ER 模型、表结构与索引</w:t>
            </w:r>
          </w:p>
        </w:tc>
        <w:tc>
          <w:tcPr>
            <w:tcW w:type="dxa" w:w="141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 xml:space="preserve">R3</w:t>
            </w:r>
          </w:p>
        </w:tc>
        <w:tc>
          <w:tcPr>
            <w:tcW w:type="dxa" w:w="79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W3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ER 图、SQL 脚本、字典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2.3</w:t>
            </w:r>
          </w:p>
        </w:tc>
        <w:tc>
          <w:tcPr>
            <w:tcW w:type="dxa" w:w="260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学生/管理员界面原型</w:t>
            </w:r>
          </w:p>
        </w:tc>
        <w:tc>
          <w:tcPr>
            <w:tcW w:type="dxa" w:w="141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R2</w:t>
            </w:r>
          </w:p>
        </w:tc>
        <w:tc>
          <w:tcPr>
            <w:tcW w:type="dxa" w:w="79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W3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流程原型和页面导航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2.4</w:t>
            </w:r>
          </w:p>
        </w:tc>
        <w:tc>
          <w:tcPr>
            <w:tcW w:type="dxa" w:w="260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权限、座位查询、管理 CRUD</w:t>
            </w:r>
          </w:p>
        </w:tc>
        <w:tc>
          <w:tcPr>
            <w:tcW w:type="dxa" w:w="141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 xml:space="preserve">R2 + R3</w:t>
            </w:r>
          </w:p>
        </w:tc>
        <w:tc>
          <w:tcPr>
            <w:tcW w:type="dxa" w:w="79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W4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可登录、可查座、可维护资源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2.5</w:t>
            </w:r>
          </w:p>
        </w:tc>
        <w:tc>
          <w:tcPr>
            <w:tcW w:type="dxa" w:w="260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预约事务与状态流转</w:t>
            </w:r>
          </w:p>
        </w:tc>
        <w:tc>
          <w:tcPr>
            <w:tcW w:type="dxa" w:w="141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R3 + R2</w:t>
            </w:r>
          </w:p>
        </w:tc>
        <w:tc>
          <w:tcPr>
            <w:tcW w:type="dxa" w:w="79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W4—W5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可预约、可取消、可签到签退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2.6</w:t>
            </w:r>
          </w:p>
        </w:tc>
        <w:tc>
          <w:tcPr>
            <w:tcW w:type="dxa" w:w="260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定时任务、信用与申诉</w:t>
            </w:r>
          </w:p>
        </w:tc>
        <w:tc>
          <w:tcPr>
            <w:tcW w:type="dxa" w:w="141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 xml:space="preserve">R3</w:t>
            </w:r>
          </w:p>
        </w:tc>
        <w:tc>
          <w:tcPr>
            <w:tcW w:type="dxa" w:w="79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W5—W6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超时结算、信用流水、工单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2.7</w:t>
            </w:r>
          </w:p>
        </w:tc>
        <w:tc>
          <w:tcPr>
            <w:tcW w:type="dxa" w:w="260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前后端联调与阶段验收</w:t>
            </w:r>
          </w:p>
        </w:tc>
        <w:tc>
          <w:tcPr>
            <w:tcW w:type="dxa" w:w="141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全员</w:t>
            </w:r>
          </w:p>
        </w:tc>
        <w:tc>
          <w:tcPr>
            <w:tcW w:type="dxa" w:w="79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W6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阶段性可运行软件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3.1</w:t>
            </w:r>
          </w:p>
        </w:tc>
        <w:tc>
          <w:tcPr>
            <w:tcW w:type="dxa" w:w="260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单元/接口/集成/权限测试</w:t>
            </w:r>
          </w:p>
        </w:tc>
        <w:tc>
          <w:tcPr>
            <w:tcW w:type="dxa" w:w="141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 xml:space="preserve">R1 + 全员</w:t>
            </w:r>
          </w:p>
        </w:tc>
        <w:tc>
          <w:tcPr>
            <w:tcW w:type="dxa" w:w="79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W6—W7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测试用例、缺陷修复记录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3.2</w:t>
            </w:r>
          </w:p>
        </w:tc>
        <w:tc>
          <w:tcPr>
            <w:tcW w:type="dxa" w:w="260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并发测试、回归测试与部署演练</w:t>
            </w:r>
          </w:p>
        </w:tc>
        <w:tc>
          <w:tcPr>
            <w:tcW w:type="dxa" w:w="141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 xml:space="preserve">R1 + R3</w:t>
            </w:r>
          </w:p>
        </w:tc>
        <w:tc>
          <w:tcPr>
            <w:tcW w:type="dxa" w:w="79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W7—W8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测试报告、可复现部署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3.3</w:t>
            </w:r>
          </w:p>
        </w:tc>
        <w:tc>
          <w:tcPr>
            <w:tcW w:type="dxa" w:w="260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项目总结、答辩彩排与提交</w:t>
            </w:r>
          </w:p>
        </w:tc>
        <w:tc>
          <w:tcPr>
            <w:tcW w:type="dxa" w:w="141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R1 + 全员</w:t>
            </w:r>
          </w:p>
        </w:tc>
        <w:tc>
          <w:tcPr>
            <w:tcW w:type="dxa" w:w="79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W8</w:t>
            </w:r>
          </w:p>
        </w:tc>
        <w:tc>
          <w:tcPr>
            <w:tcW w:type="dxa" w:w="362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软件包、总结、答辩展示</w:t>
            </w:r>
          </w:p>
        </w:tc>
      </w:tr>
    </w:tbl>
    <w:bookmarkStart w:id="28" w:name="周实施进度示例"/>
    <w:p>
      <w:pPr>
        <w:pStyle w:val="Heading3"/>
      </w:pPr>
      <w:r>
        <w:t xml:space="preserve">4.1 8 周实施进度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工作流 / 周次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W1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W2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W3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W4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W5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W6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W7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W8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需求与项目规划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●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●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架构/数据库/原型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●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核心功能编码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●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●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●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扩展功能与联调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●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●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测试与缺陷修复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●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●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项目验收与答辩</w:t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●</w:t>
            </w:r>
          </w:p>
        </w:tc>
      </w:tr>
    </w:tbl>
    <w:bookmarkEnd w:id="28"/>
    <w:bookmarkEnd w:id="29"/>
    <w:bookmarkStart w:id="30" w:name="三阶段里程碑与评审门禁"/>
    <w:p>
      <w:pPr>
        <w:pStyle w:val="Heading2"/>
      </w:pPr>
      <w:r>
        <w:t xml:space="preserve">5. 三阶段里程碑与评审门禁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737"/>
        <w:gridCol w:w="1531"/>
        <w:gridCol w:w="2835"/>
        <w:gridCol w:w="2891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里程碑</w:t>
            </w:r>
          </w:p>
        </w:tc>
        <w:tc>
          <w:tcPr>
            <w:tcW w:type="dxa" w:w="73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时间</w:t>
            </w:r>
          </w:p>
        </w:tc>
        <w:tc>
          <w:tcPr>
            <w:tcW w:type="dxa" w:w="153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汇报主题</w:t>
            </w:r>
          </w:p>
        </w:tc>
        <w:tc>
          <w:tcPr>
            <w:tcW w:type="dxa" w:w="2835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必须交付</w:t>
            </w:r>
          </w:p>
        </w:tc>
        <w:tc>
          <w:tcPr>
            <w:tcW w:type="dxa" w:w="289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M1 第一阶段</w:t>
            </w:r>
          </w:p>
        </w:tc>
        <w:tc>
          <w:tcPr>
            <w:tcW w:type="dxa" w:w="73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W2 末</w:t>
            </w:r>
          </w:p>
        </w:tc>
        <w:tc>
          <w:tcPr>
            <w:tcW w:type="dxa" w:w="153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需求分析与项目规划</w:t>
            </w:r>
          </w:p>
        </w:tc>
        <w:tc>
          <w:tcPr>
            <w:tcW w:type="dxa" w:w="2835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SRS、UML 用例图、项目计划</w:t>
            </w:r>
          </w:p>
        </w:tc>
        <w:tc>
          <w:tcPr>
            <w:tcW w:type="dxa" w:w="289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功能边界清晰，主要业务规则及分工已签字确认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M2 第二阶段</w:t>
            </w:r>
          </w:p>
        </w:tc>
        <w:tc>
          <w:tcPr>
            <w:tcW w:type="dxa" w:w="73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W6 末</w:t>
            </w:r>
          </w:p>
        </w:tc>
        <w:tc>
          <w:tcPr>
            <w:tcW w:type="dxa" w:w="153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系统设计与软件实现</w:t>
            </w:r>
          </w:p>
        </w:tc>
        <w:tc>
          <w:tcPr>
            <w:tcW w:type="dxa" w:w="2835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架构图、ER 图/DDL、原型、完整前后端代码、运行软件</w:t>
            </w:r>
          </w:p>
        </w:tc>
        <w:tc>
          <w:tcPr>
            <w:tcW w:type="dxa" w:w="289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演示 P0 业务链路，数据库无重叠有效预约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M3 第三阶段</w:t>
            </w:r>
          </w:p>
        </w:tc>
        <w:tc>
          <w:tcPr>
            <w:tcW w:type="dxa" w:w="737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W8 末</w:t>
            </w:r>
          </w:p>
        </w:tc>
        <w:tc>
          <w:tcPr>
            <w:tcW w:type="dxa" w:w="153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系统测试与项目验收</w:t>
            </w:r>
          </w:p>
        </w:tc>
        <w:tc>
          <w:tcPr>
            <w:tcW w:type="dxa" w:w="2835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系统、测试计划/报告、缺陷记录、总结、部署说明</w:t>
            </w:r>
          </w:p>
        </w:tc>
        <w:tc>
          <w:tcPr>
            <w:tcW w:type="dxa" w:w="289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核心用例可重复执行，关键缺陷关闭</w:t>
            </w:r>
          </w:p>
        </w:tc>
      </w:tr>
    </w:tbl>
    <w:p>
      <w:pPr>
        <w:pStyle w:val="BodyText"/>
      </w:pPr>
      <w:r>
        <w:rPr>
          <w:b/>
          <w:bCs/>
        </w:rPr>
        <w:t xml:space="preserve">课程图片明确要求第三阶段包含软件系统、测试报告与项目总结。</w:t>
      </w:r>
      <w:r>
        <w:t xml:space="preserve">里程碑周次已按 8 周确认；若中期检查日期调整，只平移周次，不改变里程碑含义。</w:t>
      </w:r>
    </w:p>
    <w:bookmarkEnd w:id="30"/>
    <w:bookmarkStart w:id="31" w:name="工作量与资源估算"/>
    <w:p>
      <w:pPr>
        <w:pStyle w:val="Heading2"/>
      </w:pPr>
      <w:r>
        <w:t xml:space="preserve">6. 工作量与资源估算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798"/>
        <w:gridCol w:w="3798"/>
      </w:tblGrid>
      <w:tr>
        <w:trPr>
          <w:cantSplit/>
          <w:tblHeader w:val="true"/>
        </w:trPr>
        <w:tc>
          <w:tcPr>
            <w:tcW w:type="dxa" w:w="153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工作类别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 xml:space="preserve">人时估计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需求调研与规划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24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会议、SRS、用例、计划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设计与数据库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32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ER、API、原型、技术验证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前端开发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48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学生端 + 管理员端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后端与数据库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72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认证、预约事务、定时任务、申诉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测试与修复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46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单元、联调、权限、并发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部署、文档、答辩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18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README、总结、演示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总计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240 人时</w:t>
            </w:r>
          </w:p>
        </w:tc>
        <w:tc>
          <w:tcPr>
            <w:tcW w:type="dxa" w:w="37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3 人 x 8 周 x 10 h/周 的粗略量级</w:t>
            </w:r>
          </w:p>
        </w:tc>
      </w:tr>
    </w:tbl>
    <w:p>
      <w:pPr>
        <w:pStyle w:val="BodyText"/>
      </w:pPr>
      <w:r>
        <w:t xml:space="preserve">估算按 3 人 8 周、每周 10 小时的量级测算；若实际投入低于该量级，须优先压缩 P1/P2 范围。估算是计划假设，不是已经投入工时；真实工时应通过任务看板每周更新。</w:t>
      </w:r>
    </w:p>
    <w:bookmarkEnd w:id="31"/>
    <w:bookmarkStart w:id="34" w:name="测试计划质量度量与验收"/>
    <w:p>
      <w:pPr>
        <w:pStyle w:val="Heading2"/>
      </w:pPr>
      <w:r>
        <w:t xml:space="preserve">7. 测试计划、质量度量与验收</w:t>
      </w:r>
    </w:p>
    <w:bookmarkStart w:id="32" w:name="测试分层"/>
    <w:p>
      <w:pPr>
        <w:pStyle w:val="Heading3"/>
      </w:pPr>
      <w:r>
        <w:t xml:space="preserve">7.1 测试分层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1474"/>
        <w:gridCol w:w="5556"/>
      </w:tblGrid>
      <w:tr>
        <w:trPr>
          <w:cantSplit/>
          <w:tblHeader w:val="true"/>
        </w:trPr>
        <w:tc>
          <w:tcPr>
            <w:tcW w:type="dxa" w:w="20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层级</w:t>
            </w:r>
          </w:p>
        </w:tc>
        <w:tc>
          <w:tcPr>
            <w:tcW w:type="dxa" w:w="147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测试重点</w:t>
            </w:r>
          </w:p>
        </w:tc>
        <w:tc>
          <w:tcPr>
            <w:tcW w:type="dxa" w:w="5556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8"/>
              </w:rPr>
              <w:t>证据形式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单元测试</w:t>
            </w:r>
          </w:p>
        </w:tc>
        <w:tc>
          <w:tcPr>
            <w:tcW w:type="dxa" w:w="147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时间段重叠算法、扣分阈值、订单合法迁移、幂等事件</w:t>
            </w:r>
          </w:p>
        </w:tc>
        <w:tc>
          <w:tcPr>
            <w:tcW w:type="dxa" w:w="5556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测试代码与执行结果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接口测试</w:t>
            </w:r>
          </w:p>
        </w:tc>
        <w:tc>
          <w:tcPr>
            <w:tcW w:type="dxa" w:w="147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登录、房间查询、预约/取消/签到/暂离/签退、申诉审核</w:t>
            </w:r>
          </w:p>
        </w:tc>
        <w:tc>
          <w:tcPr>
            <w:tcW w:type="dxa" w:w="5556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Postman 集合或自动化脚本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集成测试</w:t>
            </w:r>
          </w:p>
        </w:tc>
        <w:tc>
          <w:tcPr>
            <w:tcW w:type="dxa" w:w="147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页面—API—数据库和定时任务跨模块配合</w:t>
            </w:r>
          </w:p>
        </w:tc>
        <w:tc>
          <w:tcPr>
            <w:tcW w:type="dxa" w:w="5556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场景脚本与运行截图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安全测试</w:t>
            </w:r>
          </w:p>
        </w:tc>
        <w:tc>
          <w:tcPr>
            <w:tcW w:type="dxa" w:w="147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非法令牌、角色越权、操作他人订单、SQL 注入等</w:t>
            </w:r>
          </w:p>
        </w:tc>
        <w:tc>
          <w:tcPr>
            <w:tcW w:type="dxa" w:w="5556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请求/响应与修复记录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并发测试</w:t>
            </w:r>
          </w:p>
        </w:tc>
        <w:tc>
          <w:tcPr>
            <w:tcW w:type="dxa" w:w="147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同座位、同学生不同座位同时预约</w:t>
            </w:r>
          </w:p>
        </w:tc>
        <w:tc>
          <w:tcPr>
            <w:tcW w:type="dxa" w:w="5556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并发日志与数据库一致性查询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验收测试</w:t>
            </w:r>
          </w:p>
        </w:tc>
        <w:tc>
          <w:tcPr>
            <w:tcW w:type="dxa" w:w="147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教师指定用户故事、完整核心链路</w:t>
            </w:r>
          </w:p>
        </w:tc>
        <w:tc>
          <w:tcPr>
            <w:tcW w:type="dxa" w:w="5556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演示录像/截图与签收清单</w:t>
            </w:r>
          </w:p>
        </w:tc>
      </w:tr>
    </w:tbl>
    <w:bookmarkEnd w:id="32"/>
    <w:bookmarkStart w:id="33" w:name="验收门槛可按课程环境调整"/>
    <w:p>
      <w:pPr>
        <w:pStyle w:val="Heading3"/>
      </w:pPr>
      <w:r>
        <w:t xml:space="preserve">7.2 验收门槛（可按课程环境调整）</w:t>
      </w:r>
    </w:p>
    <w:p>
      <w:pPr>
        <w:pStyle w:val="Compact"/>
        <w:numPr>
          <w:ilvl w:val="0"/>
          <w:numId w:val="1002"/>
        </w:numPr>
      </w:pPr>
      <w:r>
        <w:t xml:space="preserve">主链路中的 P0 用例全部通过；无阻断演示的高优先级缺陷。</w:t>
      </w:r>
    </w:p>
    <w:p>
      <w:pPr>
        <w:pStyle w:val="Compact"/>
        <w:numPr>
          <w:ilvl w:val="0"/>
          <w:numId w:val="1002"/>
        </w:numPr>
      </w:pPr>
      <w:r>
        <w:t xml:space="preserve">并发预约测试保证“重叠有效订单数 = 0”，且冲突返回可理解的信息。</w:t>
      </w:r>
    </w:p>
    <w:p>
      <w:pPr>
        <w:pStyle w:val="Compact"/>
        <w:numPr>
          <w:ilvl w:val="0"/>
          <w:numId w:val="1002"/>
        </w:numPr>
      </w:pPr>
      <w:r>
        <w:t xml:space="preserve">资源关闭/维修、超时扫描和申诉审核支持幂等执行。</w:t>
      </w:r>
    </w:p>
    <w:p>
      <w:pPr>
        <w:pStyle w:val="Compact"/>
        <w:numPr>
          <w:ilvl w:val="0"/>
          <w:numId w:val="1002"/>
        </w:numPr>
      </w:pPr>
      <w:r>
        <w:t xml:space="preserve">明确记录测试机器配置、数据库版本、并发工具及样本规模，禁止只报目标而不报实测。</w:t>
      </w:r>
    </w:p>
    <w:p>
      <w:pPr>
        <w:pStyle w:val="Compact"/>
        <w:numPr>
          <w:ilvl w:val="0"/>
          <w:numId w:val="1002"/>
        </w:numPr>
      </w:pPr>
      <w:r>
        <w:t xml:space="preserve">所有核心 API 完成角色/归属校验，测试端不能直接修改别人的预约和信用。</w:t>
      </w:r>
    </w:p>
    <w:bookmarkEnd w:id="33"/>
    <w:bookmarkEnd w:id="34"/>
    <w:bookmarkStart w:id="35" w:name="风险台账与处置预案"/>
    <w:p>
      <w:pPr>
        <w:pStyle w:val="Heading2"/>
      </w:pPr>
      <w:r>
        <w:t xml:space="preserve">8. 风险台账与处置预案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361"/>
        <w:gridCol w:w="1701"/>
        <w:gridCol w:w="2778"/>
        <w:gridCol w:w="1134"/>
      </w:tblGrid>
      <w:tr>
        <w:trPr>
          <w:cantSplit/>
          <w:tblHeader w:val="true"/>
        </w:trPr>
        <w:tc>
          <w:tcPr>
            <w:tcW w:type="dxa" w:w="215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风险</w:t>
            </w:r>
          </w:p>
        </w:tc>
        <w:tc>
          <w:tcPr>
            <w:tcW w:type="dxa" w:w="136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可能性/影响</w:t>
            </w:r>
          </w:p>
        </w:tc>
        <w:tc>
          <w:tcPr>
            <w:tcW w:type="dxa" w:w="170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预警条件</w:t>
            </w:r>
          </w:p>
        </w:tc>
        <w:tc>
          <w:tcPr>
            <w:tcW w:type="dxa" w:w="277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缓解策略</w:t>
            </w:r>
          </w:p>
        </w:tc>
        <w:tc>
          <w:tcPr>
            <w:tcW w:type="dxa" w:w="113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  <w:shd w:fill="E6EFF3"/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b/>
                <w:color w:val="134D67"/>
                <w:sz w:val="16"/>
              </w:rPr>
              <w:t>负责人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多人并发导致座位超卖</w:t>
            </w:r>
          </w:p>
        </w:tc>
        <w:tc>
          <w:tcPr>
            <w:tcW w:type="dxa" w:w="136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中/高</w:t>
            </w:r>
          </w:p>
        </w:tc>
        <w:tc>
          <w:tcPr>
            <w:tcW w:type="dxa" w:w="170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同时抢座出现两笔订单</w:t>
            </w:r>
          </w:p>
        </w:tc>
        <w:tc>
          <w:tcPr>
            <w:tcW w:type="dxa" w:w="277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W3 完成事务 PoC，W5 引入并发测试</w:t>
            </w:r>
          </w:p>
        </w:tc>
        <w:tc>
          <w:tcPr>
            <w:tcW w:type="dxa" w:w="113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R3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订单状态或信用重复处理</w:t>
            </w:r>
          </w:p>
        </w:tc>
        <w:tc>
          <w:tcPr>
            <w:tcW w:type="dxa" w:w="136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中/高</w:t>
            </w:r>
          </w:p>
        </w:tc>
        <w:tc>
          <w:tcPr>
            <w:tcW w:type="dxa" w:w="170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双重扣分、重复签退</w:t>
            </w:r>
          </w:p>
        </w:tc>
        <w:tc>
          <w:tcPr>
            <w:tcW w:type="dxa" w:w="277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状态条件更新、信用事件幂等键、回归用例</w:t>
            </w:r>
          </w:p>
        </w:tc>
        <w:tc>
          <w:tcPr>
            <w:tcW w:type="dxa" w:w="113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 xml:space="preserve">R3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业务规则变动造成返工</w:t>
            </w:r>
          </w:p>
        </w:tc>
        <w:tc>
          <w:tcPr>
            <w:tcW w:type="dxa" w:w="136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高/中</w:t>
            </w:r>
          </w:p>
        </w:tc>
        <w:tc>
          <w:tcPr>
            <w:tcW w:type="dxa" w:w="170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W4 仍频繁修改时限</w:t>
            </w:r>
          </w:p>
        </w:tc>
        <w:tc>
          <w:tcPr>
            <w:tcW w:type="dxa" w:w="277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W2 冻结规则基线，变更单评估影响</w:t>
            </w:r>
          </w:p>
        </w:tc>
        <w:tc>
          <w:tcPr>
            <w:tcW w:type="dxa" w:w="113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前后端接口不一致</w:t>
            </w:r>
          </w:p>
        </w:tc>
        <w:tc>
          <w:tcPr>
            <w:tcW w:type="dxa" w:w="136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中/中</w:t>
            </w:r>
          </w:p>
        </w:tc>
        <w:tc>
          <w:tcPr>
            <w:tcW w:type="dxa" w:w="170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联调反复报 404/字段缺失</w:t>
            </w:r>
          </w:p>
        </w:tc>
        <w:tc>
          <w:tcPr>
            <w:tcW w:type="dxa" w:w="277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W3 OpenAPI 先行、模拟数据联调</w:t>
            </w:r>
          </w:p>
        </w:tc>
        <w:tc>
          <w:tcPr>
            <w:tcW w:type="dxa" w:w="113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R2/R3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课程时间不足、功能过宽</w:t>
            </w:r>
          </w:p>
        </w:tc>
        <w:tc>
          <w:tcPr>
            <w:tcW w:type="dxa" w:w="136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高/中</w:t>
            </w:r>
          </w:p>
        </w:tc>
        <w:tc>
          <w:tcPr>
            <w:tcW w:type="dxa" w:w="170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W5 主链路仍未跑通</w:t>
            </w:r>
          </w:p>
        </w:tc>
        <w:tc>
          <w:tcPr>
            <w:tcW w:type="dxa" w:w="277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先保 P0，将复杂图表列 P2</w:t>
            </w:r>
          </w:p>
        </w:tc>
        <w:tc>
          <w:tcPr>
            <w:tcW w:type="dxa" w:w="113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数据库或演示环境不可用</w:t>
            </w:r>
          </w:p>
        </w:tc>
        <w:tc>
          <w:tcPr>
            <w:tcW w:type="dxa" w:w="136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中/中</w:t>
            </w:r>
          </w:p>
        </w:tc>
        <w:tc>
          <w:tcPr>
            <w:tcW w:type="dxa" w:w="1701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无法一键跑通部署</w:t>
            </w:r>
          </w:p>
        </w:tc>
        <w:tc>
          <w:tcPr>
            <w:tcW w:type="dxa" w:w="2778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>版本锁定、备份 SQL、README、演示录屏</w:t>
            </w:r>
          </w:p>
        </w:tc>
        <w:tc>
          <w:tcPr>
            <w:tcW w:type="dxa" w:w="1134"/>
            <w:vAlign w:val="center"/>
            <w:tcMar>
              <w:top w:w="105" w:type="dxa"/>
              <w:bottom w:w="105" w:type="dxa"/>
              <w:left w:w="85" w:type="dxa"/>
              <w:right w:w="85" w:type="dxa"/>
            </w:tcMar>
          </w:tcPr>
          <w:p>
            <w:pPr>
              <w:spacing w:after="0" w:before="0" w:line="288" w:lineRule="auto"/>
            </w:pPr>
            <w:r>
              <w:rPr>
                <w:rFonts w:ascii="Noto Sans CJK SC" w:hAnsi="Noto Sans CJK SC" w:eastAsia="Noto Sans CJK SC"/>
                <w:sz w:val="16"/>
              </w:rPr>
              <w:t xml:space="preserve">R1/R3</w:t>
            </w:r>
          </w:p>
        </w:tc>
      </w:tr>
    </w:tbl>
    <w:bookmarkEnd w:id="35"/>
    <w:bookmarkStart w:id="36" w:name="需求变更与配置管理"/>
    <w:p>
      <w:pPr>
        <w:pStyle w:val="Heading2"/>
      </w:pPr>
      <w:r>
        <w:t xml:space="preserve">9. 需求变更与配置管理</w:t>
      </w:r>
    </w:p>
    <w:p>
      <w:pPr>
        <w:pStyle w:val="FirstParagraph"/>
      </w:pPr>
      <w:r>
        <w:t xml:space="preserve">每次需求变更记录：变更 ID、提出人、原描述、新描述、缘由、优先级、影响页面/API/表结构/测试、工时估计、组长确认及变更后版本号。W2 冻结首版需求，W6 联调后原则上只允许缺陷修复或教师要求的必要调整；所有变更需补回归测试。</w:t>
      </w:r>
    </w:p>
    <w:bookmarkEnd w:id="36"/>
    <w:bookmarkStart w:id="37" w:name="提交清单与答辩演示建议"/>
    <w:p>
      <w:pPr>
        <w:pStyle w:val="Heading2"/>
      </w:pPr>
      <w:r>
        <w:t xml:space="preserve">10. 提交清单与答辩演示建议</w:t>
      </w:r>
    </w:p>
    <w:p>
      <w:pPr>
        <w:pStyle w:val="FirstParagraph"/>
      </w:pPr>
      <w:r>
        <w:rPr>
          <w:b/>
          <w:bCs/>
        </w:rPr>
        <w:t xml:space="preserve">第一阶段：</w:t>
      </w:r>
      <w:r>
        <w:t xml:space="preserve">SRS（含功能、非功能、业务规则、数据需求、验收条件）、UML 用例图、项目开发计划。</w:t>
      </w:r>
    </w:p>
    <w:p>
      <w:pPr>
        <w:pStyle w:val="BodyText"/>
      </w:pPr>
      <w:r>
        <w:rPr>
          <w:b/>
          <w:bCs/>
        </w:rPr>
        <w:t xml:space="preserve">第二阶段：</w:t>
      </w:r>
      <w:r>
        <w:t xml:space="preserve">系统设计说明书（架构、模块、时序/状态图）、ER 图和数据字典、前端高保真原型、数据库脚本、前后端源码及阶段性运行软件。</w:t>
      </w:r>
    </w:p>
    <w:p>
      <w:pPr>
        <w:pStyle w:val="BodyText"/>
      </w:pPr>
      <w:r>
        <w:rPr>
          <w:b/>
          <w:bCs/>
        </w:rPr>
        <w:t xml:space="preserve">第三阶段：</w:t>
      </w:r>
      <w:r>
        <w:t xml:space="preserve">完整可运行软件、测试计划和实测报告、缺陷统计、项目总结、部署 README、Git 过程证据、答辩演示流程。</w:t>
      </w:r>
    </w:p>
    <w:p>
      <w:pPr>
        <w:pStyle w:val="BodyText"/>
      </w:pPr>
      <w:r>
        <w:t xml:space="preserve">演示建议按“学生查询余位—预约—管理员查看—学生签到—提前签退—再次预约同座位余下时段—模拟超时违约—管理员处理申诉”串联，并额外现场展示一次并发冲突测试。</w:t>
      </w:r>
    </w:p>
    <w:bookmarkEnd w:id="37"/>
    <w:bookmarkEnd w:id="38"/>
    <w:sectPr w:rsidR="00FC693F" w:rsidRPr="0006063C" w:rsidSect="00034616">
      <w:headerReference r:id="rId9" w:type="default"/>
      <w:footerReference r:id="rId10" w:type="default"/>
      <w:pgSz w:h="15840" w:w="12240"/>
      <w:pgMar w:bottom="1191" w:footer="567" w:gutter="0" w:header="624" w:left="1389" w:right="1389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939EAA"/>
        <w:sz w:val="16"/>
      </w:rPr>
      <w:t>课程设计 · 第一阶段交付材料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8994A1"/>
        <w:sz w:val="16"/>
      </w:rPr>
      <w:t>软件工程课程设计  ·  自习室预约系统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98" w:lineRule="auto"/>
    </w:pPr>
    <w:rPr>
      <w:rFonts w:ascii="Noto Sans CJK SC" w:eastAsia="Noto Sans CJK SC" w:hAnsi="Noto Sans CJK SC"/>
      <w:color w:val="263545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80" w:before="34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24B6D"/>
      <w:sz w:val="31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7546E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0545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8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val="324E59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60" w:before="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182E41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80"/>
      <w:ind w:left="720"/>
      <w:contextualSpacing/>
    </w:pPr>
    <w:rPr>
      <w:rFonts w:ascii="Noto Sans CJK SC" w:eastAsia="Noto Sans CJK SC" w:hAnsi="Noto Sans CJK SC"/>
      <w:sz w:val="20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Noto Sans CJK SC" w:eastAsia="Noto Sans CJK SC" w:hAnsi="Noto Sans CJK SC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80"/>
    </w:pPr>
    <w:rPr>
      <w:rFonts w:ascii="Noto Sans CJK SC" w:eastAsia="Noto Sans CJK SC" w:hAnsi="Noto Sans CJK SC"/>
      <w:i/>
      <w:iCs/>
      <w:color w:themeColor="text1"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line="240" w:lineRule="auto"/>
    </w:pPr>
    <w:rPr>
      <w:rFonts w:ascii="Noto Sans CJK SC" w:eastAsia="Noto Sans CJK SC" w:hAnsi="Noto Sans CJK SC"/>
      <w:b/>
      <w:bCs/>
      <w:color w:themeColor="accent1" w:val="4F81BD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2026-10-14T03:35:46Z</dcterms:created>
  <dcterms:modified xsi:type="dcterms:W3CDTF">2026-10-14T03:35:46Z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