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Calibri" w:cs="Calibri" w:eastAsia="Calibri" w:hAnsi="Calibri"/>
          <w:b/>
          <w:bCs/>
          <w:color w:val="1F3864"/>
          <w:sz w:val="56"/>
          <w:szCs w:val="56"/>
        </w:rPr>
        <w:t xml:space="preserve">Cloud ERP Implementation &amp; WMS Integration</w:t>
      </w:r>
    </w:p>
    <w:p>
      <w:pPr>
        <w:spacing w:after="360"/>
        <w:jc w:val="center"/>
      </w:pPr>
      <w:r>
        <w:rPr>
          <w:rFonts w:ascii="Calibri" w:cs="Calibri" w:eastAsia="Calibri" w:hAnsi="Calibri"/>
          <w:color w:val="595959"/>
          <w:sz w:val="28"/>
          <w:szCs w:val="28"/>
        </w:rPr>
        <w:t xml:space="preserve">Proposal in Response to RFP NGL-2026-ERP-04 — Nexus Global Logistics</w:t>
      </w:r>
    </w:p>
    <w:p>
      <w:pPr>
        <w:pBdr>
          <w:bottom w:val="single" w:color="1F3864" w:sz="12" w:space="4"/>
        </w:pBdr>
        <w:spacing w:after="240"/>
      </w:pPr>
      <w:r>
        <w:t xml:space="preserve"/>
      </w:r>
    </w:p>
    <w:p>
      <w:r>
        <w:br w:type="page"/>
      </w:r>
    </w:p>
    <w:p>
      <w:pPr>
        <w:spacing w:after="160" w:line="300"/>
        <w:jc w:val="both"/>
      </w:pPr>
      <w:r>
        <w:rPr>
          <w:b/>
          <w:bCs/>
        </w:rPr>
        <w:t xml:space="preserve">RFP Reference:</w:t>
      </w:r>
      <w:r>
        <w:t xml:space="preserve"> NGL-2026-ERP-04</w:t>
      </w:r>
    </w:p>
    <w:p>
      <w:pPr>
        <w:spacing w:after="160" w:line="300"/>
        <w:jc w:val="both"/>
      </w:pPr>
      <w:r>
        <w:rPr>
          <w:b/>
          <w:bCs/>
        </w:rPr>
        <w:t xml:space="preserve">Issuing Organization:</w:t>
      </w:r>
      <w:r>
        <w:t xml:space="preserve"> Nexus Global Logistics</w:t>
      </w:r>
    </w:p>
    <w:p>
      <w:pPr>
        <w:spacing w:after="160" w:line="300"/>
        <w:jc w:val="both"/>
      </w:pPr>
      <w:r>
        <w:rPr>
          <w:b/>
          <w:bCs/>
        </w:rPr>
        <w:t xml:space="preserve">Submitted by:</w:t>
      </w:r>
      <w:r>
        <w:t xml:space="preserve"> Acme Solutions</w:t>
      </w:r>
    </w:p>
    <w:p>
      <w:pPr>
        <w:spacing w:after="160" w:line="300"/>
        <w:jc w:val="both"/>
      </w:pPr>
      <w:r>
        <w:rPr>
          <w:b/>
          <w:bCs/>
        </w:rPr>
        <w:t xml:space="preserve">Submission Date:</w:t>
      </w:r>
      <w:r>
        <w:t xml:space="preserve"> May 20, 2026</w:t>
      </w:r>
    </w:p>
    <w:p>
      <w:pPr>
        <w:spacing w:after="160" w:line="300"/>
        <w:jc w:val="both"/>
      </w:pPr>
      <w:r>
        <w:rPr>
          <w:b/>
          <w:bCs/>
        </w:rPr>
        <w:t xml:space="preserve">Contact:</w:t>
      </w:r>
      <w:r>
        <w:t xml:space="preserve"> Sarah Jenkins, Director of IT Procurement — s.jenkins@nexusgloballogistics.com</w:t>
      </w:r>
    </w:p>
    <w:p>
      <w:pPr>
        <w:pBdr>
          <w:bottom w:val="single" w:color="BFBFBF" w:sz="6" w:space="1"/>
        </w:pBdr>
        <w:spacing w:before="120" w:after="120"/>
      </w:pPr>
      <w:r>
        <w:t xml:space="preserve"/>
      </w:r>
    </w:p>
    <w:p>
      <w:pPr>
        <w:pStyle w:val="Heading1"/>
      </w:pPr>
      <w:r>
        <w:t xml:space="preserve">What is your company name?</w:t>
      </w:r>
    </w:p>
    <w:p>
      <w:pPr>
        <w:pBdr>
          <w:left w:val="single" w:color="2E74B5" w:sz="12" w:space="8"/>
        </w:pBdr>
        <w:spacing w:after="160"/>
        <w:ind w:left="360"/>
      </w:pPr>
      <w:r>
        <w:rPr>
          <w:i/>
          <w:iCs/>
          <w:color w:val="595959"/>
          <w:sz w:val="20"/>
          <w:szCs w:val="20"/>
        </w:rPr>
        <w:t xml:space="preserve">Source: Content Library — Company Information</w:t>
      </w:r>
    </w:p>
    <w:p>
      <w:pPr>
        <w:spacing w:after="160" w:line="300"/>
        <w:jc w:val="both"/>
      </w:pPr>
      <w:r>
        <w:t xml:space="preserve">Our company name is </w:t>
      </w:r>
      <w:r>
        <w:rPr>
          <w:b/>
          <w:bCs/>
        </w:rPr>
        <w:t xml:space="preserve">Acme Solutions</w:t>
      </w:r>
      <w:r>
        <w:t xml:space="preserve">. We are a technology services firm specializing in enterprise software integration, cloud modernization, and AI-powered workflow automation. Founded in 2014, our team of 280+ engineers, architects, and consultants has delivered more than 400 successful implementations across 18 countries. We serve mid-market and enterprise clients across financial services, healthcare, manufacturing, and professional services verticals, and we are well-positioned to extend that expertise to the logistics and supply chain sector for Nexus Global Logistics.</w:t>
      </w:r>
    </w:p>
    <w:p>
      <w:pPr>
        <w:pBdr>
          <w:bottom w:val="single" w:color="BFBFBF" w:sz="6" w:space="1"/>
        </w:pBdr>
        <w:spacing w:before="120" w:after="120"/>
      </w:pPr>
      <w:r>
        <w:t xml:space="preserve"/>
      </w:r>
    </w:p>
    <w:p>
      <w:pPr>
        <w:pStyle w:val="Heading1"/>
      </w:pPr>
      <w:r>
        <w:t xml:space="preserve">Where is your company headquarters located?</w:t>
      </w:r>
    </w:p>
    <w:p>
      <w:pPr>
        <w:pBdr>
          <w:left w:val="single" w:color="2E74B5" w:sz="12" w:space="8"/>
        </w:pBdr>
        <w:spacing w:after="160"/>
        <w:ind w:left="360"/>
      </w:pPr>
      <w:r>
        <w:rPr>
          <w:i/>
          <w:iCs/>
          <w:color w:val="595959"/>
          <w:sz w:val="20"/>
          <w:szCs w:val="20"/>
        </w:rPr>
        <w:t xml:space="preserve">Source: Content Library — Company Information</w:t>
      </w:r>
    </w:p>
    <w:p>
      <w:pPr>
        <w:spacing w:after="160" w:line="300"/>
        <w:jc w:val="both"/>
      </w:pPr>
      <w:r>
        <w:t xml:space="preserve">Acme Solutions is headquartered at </w:t>
      </w:r>
      <w:r>
        <w:rPr>
          <w:b/>
          <w:bCs/>
        </w:rPr>
        <w:t xml:space="preserve">123 ABC Lane, St. Louis, MO 63105</w:t>
      </w:r>
      <w:r>
        <w:t xml:space="preserve">. We also maintain delivery teams across multiple U.S. locations and support global engagements from nearshore and offshore centers, enabling us to provide flexible, on-site and remote coverage for Nexus Global Logistics throughout the duration of this engagement.</w:t>
      </w:r>
    </w:p>
    <w:p>
      <w:pPr>
        <w:pBdr>
          <w:bottom w:val="single" w:color="BFBFBF" w:sz="6" w:space="1"/>
        </w:pBdr>
        <w:spacing w:before="120" w:after="120"/>
      </w:pPr>
      <w:r>
        <w:t xml:space="preserve"/>
      </w:r>
    </w:p>
    <w:p>
      <w:pPr>
        <w:pStyle w:val="Heading1"/>
      </w:pPr>
      <w:r>
        <w:t xml:space="preserve">Who is the primary contact for this proposal?</w:t>
      </w:r>
    </w:p>
    <w:p>
      <w:pPr>
        <w:pBdr>
          <w:left w:val="single" w:color="2E74B5" w:sz="12" w:space="8"/>
        </w:pBdr>
        <w:spacing w:after="160"/>
        <w:ind w:left="360"/>
      </w:pPr>
      <w:r>
        <w:rPr>
          <w:i/>
          <w:iCs/>
          <w:color w:val="595959"/>
          <w:sz w:val="20"/>
          <w:szCs w:val="20"/>
        </w:rPr>
        <w:t xml:space="preserve">Source: Content Library — Company Contacts</w:t>
      </w:r>
    </w:p>
    <w:p>
      <w:pPr>
        <w:spacing w:after="160" w:line="300"/>
        <w:jc w:val="both"/>
      </w:pPr>
      <w:r>
        <w:t xml:space="preserve">The primary point of contact for this proposal is:</w:t>
      </w:r>
    </w:p>
    <w:p>
      <w:pPr>
        <w:spacing w:after="160" w:line="300"/>
        <w:jc w:val="both"/>
      </w:pPr>
      <w:r>
        <w:rPr>
          <w:b/>
          <w:bCs/>
        </w:rPr>
        <w:t xml:space="preserve">James O'Brien — Vice President of Sales &amp; Partnerships</w:t>
      </w:r>
    </w:p>
    <w:p>
      <w:pPr>
        <w:spacing w:after="160" w:line="300"/>
        <w:jc w:val="both"/>
      </w:pPr>
      <w:r>
        <w:t xml:space="preserve">James brings 15 years of experience in B2B enterprise software sales and manages Acme Solutions' strategic alliances with AWS, Microsoft, Salesforce, and other major technology publishers. He will serve as the executive sponsor for this engagement and will ensure alignment between Nexus Global Logistics' objectives and Acme's delivery organization throughout the project lifecycle.</w:t>
      </w:r>
    </w:p>
    <w:p>
      <w:pPr>
        <w:pBdr>
          <w:bottom w:val="single" w:color="BFBFBF" w:sz="6" w:space="1"/>
        </w:pBdr>
        <w:spacing w:before="120" w:after="120"/>
      </w:pPr>
      <w:r>
        <w:t xml:space="preserve"/>
      </w:r>
    </w:p>
    <w:p>
      <w:pPr>
        <w:pStyle w:val="Heading1"/>
      </w:pPr>
      <w:r>
        <w:t xml:space="preserve">What is the primary contact's email address and phone number?</w:t>
      </w:r>
    </w:p>
    <w:p>
      <w:pPr>
        <w:pBdr>
          <w:left w:val="single" w:color="2E74B5" w:sz="12" w:space="8"/>
        </w:pBdr>
        <w:spacing w:after="160"/>
        <w:ind w:left="360"/>
      </w:pPr>
      <w:r>
        <w:rPr>
          <w:i/>
          <w:iCs/>
          <w:color w:val="595959"/>
          <w:sz w:val="20"/>
          <w:szCs w:val="20"/>
        </w:rPr>
        <w:t xml:space="preserve">Source: Content Library — Company Contacts</w:t>
      </w:r>
    </w:p>
    <w:p>
      <w:pPr>
        <w:spacing w:after="160" w:line="300"/>
        <w:jc w:val="both"/>
      </w:pPr>
      <w:r>
        <w:rPr>
          <w:b/>
          <w:bCs/>
        </w:rPr>
        <w:t xml:space="preserve">Primary Contact:</w:t>
      </w:r>
      <w:r>
        <w:t xml:space="preserve"> James O'Brien, VP of Sales &amp; Partnerships</w:t>
      </w:r>
    </w:p>
    <w:p>
      <w:pPr>
        <w:spacing w:after="160" w:line="300"/>
        <w:jc w:val="both"/>
      </w:pPr>
      <w:r>
        <w:rPr>
          <w:b/>
          <w:bCs/>
        </w:rPr>
        <w:t xml:space="preserve">Email:</w:t>
      </w:r>
      <w:r>
        <w:t xml:space="preserve"> </w:t>
      </w:r>
      <w:r>
        <w:rPr>
          <w:i/>
          <w:iCs/>
          <w:color w:val="7A5D00"/>
          <w:highlight w:val="yellow"/>
          <w:highlightCs w:val="yellow"/>
        </w:rPr>
        <w:t xml:space="preserve">[PLACEHOLDER: James O'Brien's email address]</w:t>
      </w:r>
    </w:p>
    <w:p>
      <w:pPr>
        <w:spacing w:after="160" w:line="300"/>
        <w:jc w:val="both"/>
      </w:pPr>
      <w:r>
        <w:rPr>
          <w:b/>
          <w:bCs/>
        </w:rPr>
        <w:t xml:space="preserve">Phone:</w:t>
      </w:r>
      <w:r>
        <w:t xml:space="preserve"> </w:t>
      </w:r>
      <w:r>
        <w:rPr>
          <w:i/>
          <w:iCs/>
          <w:color w:val="7A5D00"/>
          <w:highlight w:val="yellow"/>
          <w:highlightCs w:val="yellow"/>
        </w:rPr>
        <w:t xml:space="preserve">[PLACEHOLDER: James O'Brien's phone number]</w:t>
      </w:r>
    </w:p>
    <w:p>
      <w:pPr>
        <w:spacing w:after="160" w:line="300"/>
        <w:jc w:val="both"/>
      </w:pPr>
      <w:r>
        <w:rPr>
          <w:b/>
          <w:bCs/>
        </w:rPr>
        <w:t xml:space="preserve">Secondary Contacts:</w:t>
      </w:r>
    </w:p>
    <w:p>
      <w:pPr>
        <w:pStyle w:val="ListParagraph"/>
        <w:numPr>
          <w:ilvl w:val="0"/>
          <w:numId w:val="2"/>
        </w:numPr>
        <w:spacing w:after="80"/>
      </w:pPr>
      <w:r>
        <w:rPr>
          <w:b/>
          <w:bCs/>
        </w:rPr>
        <w:t xml:space="preserve">Priya Patel, VP of Customer Success</w:t>
      </w:r>
      <w:r>
        <w:t xml:space="preserve"> — Available for escalation and ongoing partnership management. </w:t>
      </w:r>
      <w:r>
        <w:rPr>
          <w:i/>
          <w:iCs/>
          <w:color w:val="7A5D00"/>
          <w:highlight w:val="yellow"/>
          <w:highlightCs w:val="yellow"/>
        </w:rPr>
        <w:t xml:space="preserve">[PLACEHOLDER: Priya Patel's email and phone]</w:t>
      </w:r>
    </w:p>
    <w:p>
      <w:pPr>
        <w:pStyle w:val="ListParagraph"/>
        <w:numPr>
          <w:ilvl w:val="0"/>
          <w:numId w:val="2"/>
        </w:numPr>
        <w:spacing w:after="80"/>
      </w:pPr>
      <w:r>
        <w:rPr>
          <w:b/>
          <w:bCs/>
        </w:rPr>
        <w:t xml:space="preserve">Marcus Williams, Chief Technology Officer</w:t>
      </w:r>
      <w:r>
        <w:t xml:space="preserve"> — Available for technical architecture discussions and solution design reviews. </w:t>
      </w:r>
      <w:r>
        <w:rPr>
          <w:i/>
          <w:iCs/>
          <w:color w:val="7A5D00"/>
          <w:highlight w:val="yellow"/>
          <w:highlightCs w:val="yellow"/>
        </w:rPr>
        <w:t xml:space="preserve">[PLACEHOLDER: Marcus Williams' email and phone]</w:t>
      </w:r>
    </w:p>
    <w:p>
      <w:pPr>
        <w:pBdr>
          <w:bottom w:val="single" w:color="BFBFBF" w:sz="6" w:space="1"/>
        </w:pBdr>
        <w:spacing w:before="120" w:after="120"/>
      </w:pPr>
      <w:r>
        <w:t xml:space="preserve"/>
      </w:r>
    </w:p>
    <w:p>
      <w:pPr>
        <w:pStyle w:val="Heading1"/>
      </w:pPr>
      <w:r>
        <w:t xml:space="preserve">How many years has your company been in business?</w:t>
      </w:r>
    </w:p>
    <w:p>
      <w:pPr>
        <w:pBdr>
          <w:left w:val="single" w:color="2E74B5" w:sz="12" w:space="8"/>
        </w:pBdr>
        <w:spacing w:after="160"/>
        <w:ind w:left="360"/>
      </w:pPr>
      <w:r>
        <w:rPr>
          <w:i/>
          <w:iCs/>
          <w:color w:val="595959"/>
          <w:sz w:val="20"/>
          <w:szCs w:val="20"/>
        </w:rPr>
        <w:t xml:space="preserve">Source: Content Library — Company Information</w:t>
      </w:r>
    </w:p>
    <w:p>
      <w:pPr>
        <w:spacing w:after="160" w:line="300"/>
        <w:jc w:val="both"/>
      </w:pPr>
      <w:r>
        <w:t xml:space="preserve">Acme Solutions was founded in </w:t>
      </w:r>
      <w:r>
        <w:rPr>
          <w:b/>
          <w:bCs/>
        </w:rPr>
        <w:t xml:space="preserve">2014</w:t>
      </w:r>
      <w:r>
        <w:t xml:space="preserve">, meaning we have been in business for </w:t>
      </w:r>
      <w:r>
        <w:rPr>
          <w:b/>
          <w:bCs/>
        </w:rPr>
        <w:t xml:space="preserve">over 12 years</w:t>
      </w:r>
      <w:r>
        <w:t xml:space="preserve"> as of the anticipated project kickoff in July 2026. During this time, we have grown to a team of 280+ professionals, delivered 400+ successful implementations across 18 countries, and been recognized as an Inc. 5000 honoree for three consecutive years (2021, 2022, 2023). This track record reflects a mature, stable organization with the operational discipline and institutional knowledge required to execute a complex Cloud ERP and WMS integration for Nexus Global Logistics.</w:t>
      </w:r>
    </w:p>
    <w:p>
      <w:pPr>
        <w:pBdr>
          <w:bottom w:val="single" w:color="BFBFBF" w:sz="6" w:space="1"/>
        </w:pBdr>
        <w:spacing w:before="120" w:after="120"/>
      </w:pPr>
      <w:r>
        <w:t xml:space="preserve"/>
      </w:r>
    </w:p>
    <w:p>
      <w:pPr>
        <w:pStyle w:val="Heading1"/>
      </w:pPr>
      <w:r>
        <w:t xml:space="preserve">What are your firm's technical specialties and relevant vendor certifications? Do you hold elite/gold tier status with the proposed ERP software publisher? Please also confirm ISO 27001 or SOC 2 Type II compliance for data migration.</w:t>
      </w:r>
    </w:p>
    <w:p>
      <w:pPr>
        <w:pBdr>
          <w:left w:val="single" w:color="2E74B5" w:sz="12" w:space="8"/>
        </w:pBdr>
        <w:spacing w:after="160"/>
        <w:ind w:left="360"/>
      </w:pPr>
      <w:r>
        <w:rPr>
          <w:i/>
          <w:iCs/>
          <w:color w:val="595959"/>
          <w:sz w:val="20"/>
          <w:szCs w:val="20"/>
        </w:rPr>
        <w:t xml:space="preserve">Source: Content Library — Certifications, Specialties</w:t>
      </w:r>
    </w:p>
    <w:p>
      <w:pPr>
        <w:pStyle w:val="Heading2"/>
      </w:pPr>
      <w:r>
        <w:t xml:space="preserve">Technical Specialties</w:t>
      </w:r>
    </w:p>
    <w:p>
      <w:pPr>
        <w:spacing w:after="160" w:line="300"/>
        <w:jc w:val="both"/>
      </w:pPr>
      <w:r>
        <w:t xml:space="preserve">Acme Solutions brings deep expertise across the full spectrum of enterprise integration, cloud-native development, and data platform engineering. Our technical specialties directly relevant to this Cloud ERP and WMS integration include:</w:t>
      </w:r>
    </w:p>
    <w:p>
      <w:pPr>
        <w:pStyle w:val="ListParagraph"/>
        <w:numPr>
          <w:ilvl w:val="0"/>
          <w:numId w:val="2"/>
        </w:numPr>
        <w:spacing w:after="80"/>
      </w:pPr>
      <w:r>
        <w:rPr>
          <w:b/>
          <w:bCs/>
        </w:rPr>
        <w:t xml:space="preserve">ERP Integration Expertise:</w:t>
      </w:r>
      <w:r>
        <w:t xml:space="preserve"> Pre-built connectors for SAP S/4HANA, Oracle NetSuite, Workday, and other major enterprise platforms — requiring no custom code for standard integration patterns.</w:t>
      </w:r>
    </w:p>
    <w:p>
      <w:pPr>
        <w:pStyle w:val="ListParagraph"/>
        <w:numPr>
          <w:ilvl w:val="0"/>
          <w:numId w:val="2"/>
        </w:numPr>
        <w:spacing w:after="80"/>
      </w:pPr>
      <w:r>
        <w:rPr>
          <w:b/>
          <w:bCs/>
        </w:rPr>
        <w:t xml:space="preserve">Cloud-Native Architecture:</w:t>
      </w:r>
      <w:r>
        <w:t xml:space="preserve"> Deep proficiency across AWS, Microsoft Azure, and Google Cloud Platform, enabling us to design and deploy scalable, resilient cloud ERP environments.</w:t>
      </w:r>
    </w:p>
    <w:p>
      <w:pPr>
        <w:pStyle w:val="ListParagraph"/>
        <w:numPr>
          <w:ilvl w:val="0"/>
          <w:numId w:val="2"/>
        </w:numPr>
        <w:spacing w:after="80"/>
      </w:pPr>
      <w:r>
        <w:rPr>
          <w:b/>
          <w:bCs/>
        </w:rPr>
        <w:t xml:space="preserve">Integration Protocols &amp; Messaging:</w:t>
      </w:r>
      <w:r>
        <w:t xml:space="preserve"> Native support for REST (JSON/XML), GraphQL, gRPC, SOAP, and EDI (X12/EDIFACT). Messaging capabilities include Apache Kafka, AWS SQS/SNS, Azure Service Bus, RabbitMQ, and webhooks — all critical for real-time WMS API integration.</w:t>
      </w:r>
    </w:p>
    <w:p>
      <w:pPr>
        <w:pStyle w:val="ListParagraph"/>
        <w:numPr>
          <w:ilvl w:val="0"/>
          <w:numId w:val="2"/>
        </w:numPr>
        <w:spacing w:after="80"/>
      </w:pPr>
      <w:r>
        <w:rPr>
          <w:b/>
          <w:bCs/>
        </w:rPr>
        <w:t xml:space="preserve">Authentication &amp; Security:</w:t>
      </w:r>
      <w:r>
        <w:t xml:space="preserve"> OAuth 2.0/OIDC, SAML 2.0, API key management, and mTLS for secure system-to-system communication.</w:t>
      </w:r>
    </w:p>
    <w:p>
      <w:pPr>
        <w:pStyle w:val="ListParagraph"/>
        <w:numPr>
          <w:ilvl w:val="0"/>
          <w:numId w:val="2"/>
        </w:numPr>
        <w:spacing w:after="80"/>
      </w:pPr>
      <w:r>
        <w:rPr>
          <w:b/>
          <w:bCs/>
        </w:rPr>
        <w:t xml:space="preserve">File Transfer &amp; Data Movement:</w:t>
      </w:r>
      <w:r>
        <w:t xml:space="preserve"> SFTP, S3, Azure Blob, SharePoint, and Google Drive support for bulk data migration and ongoing file-based integrations.</w:t>
      </w:r>
    </w:p>
    <w:p>
      <w:pPr>
        <w:pStyle w:val="ListParagraph"/>
        <w:numPr>
          <w:ilvl w:val="0"/>
          <w:numId w:val="2"/>
        </w:numPr>
        <w:spacing w:after="80"/>
      </w:pPr>
      <w:r>
        <w:rPr>
          <w:b/>
          <w:bCs/>
        </w:rPr>
        <w:t xml:space="preserve">Custom Connector Development:</w:t>
      </w:r>
      <w:r>
        <w:t xml:space="preserve"> Our proprietary SDK enables rapid development of net-new connectors (average 3–5 business days), ensuring we can integrate with Nexus's specific WMS platform regardless of vendor.</w:t>
      </w:r>
    </w:p>
    <w:p>
      <w:pPr>
        <w:pStyle w:val="Heading2"/>
      </w:pPr>
      <w:r>
        <w:t xml:space="preserve">Vendor Certifications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Certification</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Status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AWS Advanced Consulting Partner</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Active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Microsoft Solutions Partner (Data &amp; AI)</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Active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SOC 2 Type II</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Certified (annual audit)</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ISO 27001</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Certified</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Inc. 5000</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Honoree — 2021, 2022, 2023</w:t>
            </w:r>
          </w:p>
        </w:tc>
      </w:tr>
    </w:tbl>
    <w:p>
      <w:pPr>
        <w:spacing w:after="120"/>
      </w:pPr>
      <w:r>
        <w:t xml:space="preserve"/>
      </w:r>
    </w:p>
    <w:p>
      <w:pPr>
        <w:pStyle w:val="Heading2"/>
      </w:pPr>
      <w:r>
        <w:t xml:space="preserve">ERP Publisher Partner Status</w:t>
      </w:r>
    </w:p>
    <w:p>
      <w:pPr>
        <w:spacing w:after="160" w:line="300"/>
        <w:jc w:val="both"/>
      </w:pPr>
      <w:r>
        <w:rPr>
          <w:i/>
          <w:iCs/>
          <w:color w:val="7A5D00"/>
          <w:highlight w:val="yellow"/>
          <w:highlightCs w:val="yellow"/>
        </w:rPr>
        <w:t xml:space="preserve">[PLACEHOLDER: Specific elite/gold tier partnership status with the proposed ERP software publisher (e.g., Oracle, SAP, Microsoft Dynamics). Acme Solutions holds strategic alliances with major ERP publishers and can provide documentation of our specific tier status upon identification of the preferred ERP platform.]</w:t>
      </w:r>
    </w:p>
    <w:p>
      <w:pPr>
        <w:pStyle w:val="Heading2"/>
      </w:pPr>
      <w:r>
        <w:t xml:space="preserve">ISO 27001 &amp; SOC 2 Type II Compliance for Data Migration</w:t>
      </w:r>
    </w:p>
    <w:p>
      <w:pPr>
        <w:spacing w:after="160" w:line="300"/>
        <w:jc w:val="both"/>
      </w:pPr>
      <w:r>
        <w:t xml:space="preserve">We can </w:t>
      </w:r>
      <w:r>
        <w:rPr>
          <w:b/>
          <w:bCs/>
        </w:rPr>
        <w:t xml:space="preserve">confirm</w:t>
      </w:r>
      <w:r>
        <w:t xml:space="preserve"> that Acme Solutions holds both </w:t>
      </w:r>
      <w:r>
        <w:rPr>
          <w:b/>
          <w:bCs/>
        </w:rPr>
        <w:t xml:space="preserve">ISO 27001 certification</w:t>
      </w:r>
      <w:r>
        <w:t xml:space="preserve"> and </w:t>
      </w:r>
      <w:r>
        <w:rPr>
          <w:b/>
          <w:bCs/>
        </w:rPr>
        <w:t xml:space="preserve">SOC 2 Type II certification</w:t>
      </w:r>
      <w:r>
        <w:t xml:space="preserve"> (audited annually). These certifications govern all aspects of our service delivery, including data migration activities. Our data handling practices adhere to:</w:t>
      </w:r>
    </w:p>
    <w:p>
      <w:pPr>
        <w:pStyle w:val="ListParagraph"/>
        <w:numPr>
          <w:ilvl w:val="0"/>
          <w:numId w:val="2"/>
        </w:numPr>
        <w:spacing w:after="80"/>
      </w:pPr>
      <w:r>
        <w:rPr>
          <w:b/>
          <w:bCs/>
        </w:rPr>
        <w:t xml:space="preserve">Encryption:</w:t>
      </w:r>
      <w:r>
        <w:t xml:space="preserve"> AES-256 at rest, TLS 1.3 in transit, with key management via cloud KMS</w:t>
      </w:r>
    </w:p>
    <w:p>
      <w:pPr>
        <w:pStyle w:val="ListParagraph"/>
        <w:numPr>
          <w:ilvl w:val="0"/>
          <w:numId w:val="2"/>
        </w:numPr>
        <w:spacing w:after="80"/>
      </w:pPr>
      <w:r>
        <w:rPr>
          <w:b/>
          <w:bCs/>
        </w:rPr>
        <w:t xml:space="preserve">Data Classification:</w:t>
      </w:r>
      <w:r>
        <w:t xml:space="preserve"> Four-tier classification model (Public, Internal, Confidential, Restricted) with controls applied by tier</w:t>
      </w:r>
    </w:p>
    <w:p>
      <w:pPr>
        <w:pStyle w:val="ListParagraph"/>
        <w:numPr>
          <w:ilvl w:val="0"/>
          <w:numId w:val="2"/>
        </w:numPr>
        <w:spacing w:after="80"/>
      </w:pPr>
      <w:r>
        <w:rPr>
          <w:b/>
          <w:bCs/>
        </w:rPr>
        <w:t xml:space="preserve">Audit Logging:</w:t>
      </w:r>
      <w:r>
        <w:t xml:space="preserve"> All access to Confidential and Restricted data is logged with 90-day immutable retention</w:t>
      </w:r>
    </w:p>
    <w:p>
      <w:pPr>
        <w:pStyle w:val="ListParagraph"/>
        <w:numPr>
          <w:ilvl w:val="0"/>
          <w:numId w:val="2"/>
        </w:numPr>
        <w:spacing w:after="80"/>
      </w:pPr>
      <w:r>
        <w:rPr>
          <w:b/>
          <w:bCs/>
        </w:rPr>
        <w:t xml:space="preserve">Privacy Compliance:</w:t>
      </w:r>
      <w:r>
        <w:t xml:space="preserve"> GDPR, CCPA, and applicable state privacy laws</w:t>
      </w:r>
    </w:p>
    <w:p>
      <w:pPr>
        <w:pStyle w:val="ListParagraph"/>
        <w:numPr>
          <w:ilvl w:val="0"/>
          <w:numId w:val="2"/>
        </w:numPr>
        <w:spacing w:after="80"/>
      </w:pPr>
      <w:r>
        <w:rPr>
          <w:b/>
          <w:bCs/>
        </w:rPr>
        <w:t xml:space="preserve">Quarterly Compliance Reviews:</w:t>
      </w:r>
      <w:r>
        <w:t xml:space="preserve"> Conducted by our dedicated Information Security team</w:t>
      </w:r>
    </w:p>
    <w:p>
      <w:pPr>
        <w:spacing w:after="160" w:line="300"/>
        <w:jc w:val="both"/>
      </w:pPr>
      <w:r>
        <w:t xml:space="preserve">These controls ensure that Nexus Global Logistics' financial, operational, and customer data will be handled with the highest level of security throughout the migration process.</w:t>
      </w:r>
    </w:p>
    <w:p>
      <w:pPr>
        <w:pBdr>
          <w:bottom w:val="single" w:color="BFBFBF" w:sz="6" w:space="1"/>
        </w:pBdr>
        <w:spacing w:before="120" w:after="120"/>
      </w:pPr>
      <w:r>
        <w:t xml:space="preserve"/>
      </w:r>
    </w:p>
    <w:p>
      <w:pPr>
        <w:pStyle w:val="Heading1"/>
      </w:pPr>
      <w:r>
        <w:t xml:space="preserve">What is your detailed project management methodology (e.g., Agile, Hybrid, Waterfall) for managing complex integrations like this Cloud ERP and WMS integration?</w:t>
      </w:r>
    </w:p>
    <w:p>
      <w:pPr>
        <w:pBdr>
          <w:left w:val="single" w:color="2E74B5" w:sz="12" w:space="8"/>
        </w:pBdr>
        <w:spacing w:after="160"/>
        <w:ind w:left="360"/>
      </w:pPr>
      <w:r>
        <w:rPr>
          <w:i/>
          <w:iCs/>
          <w:color w:val="595959"/>
          <w:sz w:val="20"/>
          <w:szCs w:val="20"/>
        </w:rPr>
        <w:t xml:space="preserve">Source: Content Library — Services</w:t>
      </w:r>
    </w:p>
    <w:p>
      <w:pPr>
        <w:pStyle w:val="Heading2"/>
      </w:pPr>
      <w:r>
        <w:t xml:space="preserve">Hybrid Agile Methodology</w:t>
      </w:r>
    </w:p>
    <w:p>
      <w:pPr>
        <w:spacing w:after="160" w:line="300"/>
        <w:jc w:val="both"/>
      </w:pPr>
      <w:r>
        <w:t xml:space="preserve">For a complex engagement such as the Cloud ERP and WMS integration for Nexus Global Logistics, Acme Solutions employs a </w:t>
      </w:r>
      <w:r>
        <w:rPr>
          <w:b/>
          <w:bCs/>
        </w:rPr>
        <w:t xml:space="preserve">Hybrid Agile methodology</w:t>
      </w:r>
      <w:r>
        <w:t xml:space="preserve"> that combines the structured governance of traditional Waterfall with the iterative delivery cadence of Agile. This approach is purpose-built for large-scale ERP implementations where requirements must be rigorously documented and approved, yet the integration and configuration work benefits from incremental development, continuous feedback, and adaptive planning.</w:t>
      </w:r>
    </w:p>
    <w:p>
      <w:pPr>
        <w:pStyle w:val="Heading2"/>
      </w:pPr>
      <w:r>
        <w:t xml:space="preserve">Four-Phase Engagement Model</w:t>
      </w:r>
    </w:p>
    <w:p>
      <w:pPr>
        <w:spacing w:after="160" w:line="300"/>
        <w:jc w:val="both"/>
      </w:pPr>
      <w:r>
        <w:t xml:space="preserve">Our engagements follow a proven four-phase model with formal sign-off gates before proceeding to each subsequent phase:</w:t>
      </w:r>
    </w:p>
    <w:p>
      <w:pPr>
        <w:spacing w:after="160" w:line="300"/>
        <w:jc w:val="both"/>
      </w:pPr>
      <w:r>
        <w:rPr>
          <w:b/>
          <w:bCs/>
        </w:rPr>
        <w:t xml:space="preserve">Phase 1: Discovery &amp; Assessment (2–4 weeks)</w:t>
      </w:r>
    </w:p>
    <w:p>
      <w:pPr>
        <w:pStyle w:val="ListParagraph"/>
        <w:numPr>
          <w:ilvl w:val="0"/>
          <w:numId w:val="2"/>
        </w:numPr>
        <w:spacing w:after="80"/>
      </w:pPr>
      <w:r>
        <w:t xml:space="preserve">Stakeholder interviews across finance, operations, warehouse management, and IT</w:t>
      </w:r>
    </w:p>
    <w:p>
      <w:pPr>
        <w:pStyle w:val="ListParagraph"/>
        <w:numPr>
          <w:ilvl w:val="0"/>
          <w:numId w:val="2"/>
        </w:numPr>
        <w:spacing w:after="80"/>
      </w:pPr>
      <w:r>
        <w:t xml:space="preserve">Current-state architecture review of existing systems (legacy ERP, WMS, ancillary platforms)</w:t>
      </w:r>
    </w:p>
    <w:p>
      <w:pPr>
        <w:pStyle w:val="ListParagraph"/>
        <w:numPr>
          <w:ilvl w:val="0"/>
          <w:numId w:val="2"/>
        </w:numPr>
        <w:spacing w:after="80"/>
      </w:pPr>
      <w:r>
        <w:t xml:space="preserve">Requirements workshops to define functional, technical, and integration requirements</w:t>
      </w:r>
    </w:p>
    <w:p>
      <w:pPr>
        <w:pStyle w:val="ListParagraph"/>
        <w:numPr>
          <w:ilvl w:val="0"/>
          <w:numId w:val="2"/>
        </w:numPr>
        <w:spacing w:after="80"/>
      </w:pPr>
      <w:r>
        <w:t xml:space="preserve">Risk register creation identifying project-level and integration-level risks</w:t>
      </w:r>
    </w:p>
    <w:p>
      <w:pPr>
        <w:pStyle w:val="ListParagraph"/>
        <w:numPr>
          <w:ilvl w:val="0"/>
          <w:numId w:val="2"/>
        </w:numPr>
        <w:spacing w:after="80"/>
      </w:pPr>
      <w:r>
        <w:t xml:space="preserve">Deliverables: Business Requirements Document (BRD), Current-State Architecture Map, Risk Register, Project Charter</w:t>
      </w:r>
    </w:p>
    <w:p>
      <w:pPr>
        <w:spacing w:after="160" w:line="300"/>
        <w:jc w:val="both"/>
      </w:pPr>
      <w:r>
        <w:rPr>
          <w:b/>
          <w:bCs/>
        </w:rPr>
        <w:t xml:space="preserve">Phase 2: Design &amp; Planning (2–3 weeks)</w:t>
      </w:r>
    </w:p>
    <w:p>
      <w:pPr>
        <w:pStyle w:val="ListParagraph"/>
        <w:numPr>
          <w:ilvl w:val="0"/>
          <w:numId w:val="2"/>
        </w:numPr>
        <w:spacing w:after="80"/>
      </w:pPr>
      <w:r>
        <w:t xml:space="preserve">Solution architecture design including cloud ERP configuration blueprint and WMS API integration design</w:t>
      </w:r>
    </w:p>
    <w:p>
      <w:pPr>
        <w:pStyle w:val="ListParagraph"/>
        <w:numPr>
          <w:ilvl w:val="0"/>
          <w:numId w:val="2"/>
        </w:numPr>
        <w:spacing w:after="80"/>
      </w:pPr>
      <w:r>
        <w:t xml:space="preserve">Integration mapping (data flows, transformation rules, API contracts)</w:t>
      </w:r>
    </w:p>
    <w:p>
      <w:pPr>
        <w:pStyle w:val="ListParagraph"/>
        <w:numPr>
          <w:ilvl w:val="0"/>
          <w:numId w:val="2"/>
        </w:numPr>
        <w:spacing w:after="80"/>
      </w:pPr>
      <w:r>
        <w:t xml:space="preserve">Detailed project plan with resource allocation, sprint cadence, and milestone definitions</w:t>
      </w:r>
    </w:p>
    <w:p>
      <w:pPr>
        <w:pStyle w:val="ListParagraph"/>
        <w:numPr>
          <w:ilvl w:val="0"/>
          <w:numId w:val="2"/>
        </w:numPr>
        <w:spacing w:after="80"/>
      </w:pPr>
      <w:r>
        <w:t xml:space="preserve">Deliverables: Solution Architecture Document (SAD), Integration Design Specification, Detailed Project Plan, Resource Allocation Matrix</w:t>
      </w:r>
    </w:p>
    <w:p>
      <w:pPr>
        <w:spacing w:after="160" w:line="300"/>
        <w:jc w:val="both"/>
      </w:pPr>
      <w:r>
        <w:rPr>
          <w:b/>
          <w:bCs/>
        </w:rPr>
        <w:t xml:space="preserve">Phase 3: Implementation (varies by scope; typically 12–16 weeks for ERP + WMS)</w:t>
      </w:r>
    </w:p>
    <w:p>
      <w:pPr>
        <w:pStyle w:val="ListParagraph"/>
        <w:numPr>
          <w:ilvl w:val="0"/>
          <w:numId w:val="2"/>
        </w:numPr>
        <w:spacing w:after="80"/>
      </w:pPr>
      <w:r>
        <w:t xml:space="preserve">Agile sprint delivery in 2-week cycles</w:t>
      </w:r>
    </w:p>
    <w:p>
      <w:pPr>
        <w:pStyle w:val="ListParagraph"/>
        <w:numPr>
          <w:ilvl w:val="0"/>
          <w:numId w:val="2"/>
        </w:numPr>
        <w:spacing w:after="80"/>
      </w:pPr>
      <w:r>
        <w:t xml:space="preserve">Weekly demo cadence for Nexus stakeholders to review progress and provide feedback</w:t>
      </w:r>
    </w:p>
    <w:p>
      <w:pPr>
        <w:pStyle w:val="ListParagraph"/>
        <w:numPr>
          <w:ilvl w:val="0"/>
          <w:numId w:val="2"/>
        </w:numPr>
        <w:spacing w:after="80"/>
      </w:pPr>
      <w:r>
        <w:t xml:space="preserve">Automated CI/CD pipelines for consistent, repeatable deployments</w:t>
      </w:r>
    </w:p>
    <w:p>
      <w:pPr>
        <w:pStyle w:val="ListParagraph"/>
        <w:numPr>
          <w:ilvl w:val="0"/>
          <w:numId w:val="2"/>
        </w:numPr>
        <w:spacing w:after="80"/>
      </w:pPr>
      <w:r>
        <w:t xml:space="preserve">Documented runbooks for all operational procedures</w:t>
      </w:r>
    </w:p>
    <w:p>
      <w:pPr>
        <w:pStyle w:val="ListParagraph"/>
        <w:numPr>
          <w:ilvl w:val="0"/>
          <w:numId w:val="2"/>
        </w:numPr>
        <w:spacing w:after="80"/>
      </w:pPr>
      <w:r>
        <w:t xml:space="preserve">Deliverables: Configured ERP environment, WMS API integration, data migration scripts, automated test suites, runbooks</w:t>
      </w:r>
    </w:p>
    <w:p>
      <w:pPr>
        <w:spacing w:after="160" w:line="300"/>
        <w:jc w:val="both"/>
      </w:pPr>
      <w:r>
        <w:rPr>
          <w:b/>
          <w:bCs/>
        </w:rPr>
        <w:t xml:space="preserve">Phase 4: Transition &amp; Hypercare (4 weeks)</w:t>
      </w:r>
    </w:p>
    <w:p>
      <w:pPr>
        <w:pStyle w:val="ListParagraph"/>
        <w:numPr>
          <w:ilvl w:val="0"/>
          <w:numId w:val="2"/>
        </w:numPr>
        <w:spacing w:after="80"/>
      </w:pPr>
      <w:r>
        <w:t xml:space="preserve">Knowledge transfer sessions for Nexus IT and functional teams</w:t>
      </w:r>
    </w:p>
    <w:p>
      <w:pPr>
        <w:pStyle w:val="ListParagraph"/>
        <w:numPr>
          <w:ilvl w:val="0"/>
          <w:numId w:val="2"/>
        </w:numPr>
        <w:spacing w:after="80"/>
      </w:pPr>
      <w:r>
        <w:t xml:space="preserve">Administrator and end-user training</w:t>
      </w:r>
    </w:p>
    <w:p>
      <w:pPr>
        <w:pStyle w:val="ListParagraph"/>
        <w:numPr>
          <w:ilvl w:val="0"/>
          <w:numId w:val="2"/>
        </w:numPr>
        <w:spacing w:after="80"/>
      </w:pPr>
      <w:r>
        <w:t xml:space="preserve">Elevated support SLA during hypercare period</w:t>
      </w:r>
    </w:p>
    <w:p>
      <w:pPr>
        <w:pStyle w:val="ListParagraph"/>
        <w:numPr>
          <w:ilvl w:val="0"/>
          <w:numId w:val="2"/>
        </w:numPr>
        <w:spacing w:after="80"/>
      </w:pPr>
      <w:r>
        <w:t xml:space="preserve">Go-live readiness checklist and cutover execution</w:t>
      </w:r>
    </w:p>
    <w:p>
      <w:pPr>
        <w:pStyle w:val="ListParagraph"/>
        <w:numPr>
          <w:ilvl w:val="0"/>
          <w:numId w:val="2"/>
        </w:numPr>
        <w:spacing w:after="80"/>
      </w:pPr>
      <w:r>
        <w:t xml:space="preserve">Deliverables: Training materials, Knowledge Transfer documentation, Go-Live Readiness Assessment, Hypercare Support Plan</w:t>
      </w:r>
    </w:p>
    <w:p>
      <w:pPr>
        <w:pStyle w:val="Heading2"/>
      </w:pPr>
      <w:r>
        <w:t xml:space="preserve">Governance Structure</w:t>
      </w:r>
    </w:p>
    <w:p>
      <w:pPr>
        <w:spacing w:after="160" w:line="300"/>
        <w:jc w:val="both"/>
      </w:pPr>
      <w:r>
        <w:t xml:space="preserve">Throughout the engagement, we employ the following governance mechanisms:</w:t>
      </w:r>
    </w:p>
    <w:p>
      <w:pPr>
        <w:pStyle w:val="ListParagraph"/>
        <w:numPr>
          <w:ilvl w:val="0"/>
          <w:numId w:val="2"/>
        </w:numPr>
        <w:spacing w:after="80"/>
      </w:pPr>
      <w:r>
        <w:rPr>
          <w:b/>
          <w:bCs/>
        </w:rPr>
        <w:t xml:space="preserve">Steering Committee:</w:t>
      </w:r>
      <w:r>
        <w:t xml:space="preserve"> Bi-weekly executive-level meetings with Nexus leadership to review project health, risks, and strategic decisions</w:t>
      </w:r>
    </w:p>
    <w:p>
      <w:pPr>
        <w:pStyle w:val="ListParagraph"/>
        <w:numPr>
          <w:ilvl w:val="0"/>
          <w:numId w:val="2"/>
        </w:numPr>
        <w:spacing w:after="80"/>
      </w:pPr>
      <w:r>
        <w:rPr>
          <w:b/>
          <w:bCs/>
        </w:rPr>
        <w:t xml:space="preserve">Sprint Reviews:</w:t>
      </w:r>
      <w:r>
        <w:t xml:space="preserve"> End-of-sprint demonstrations with functional stakeholders every two weeks</w:t>
      </w:r>
    </w:p>
    <w:p>
      <w:pPr>
        <w:pStyle w:val="ListParagraph"/>
        <w:numPr>
          <w:ilvl w:val="0"/>
          <w:numId w:val="2"/>
        </w:numPr>
        <w:spacing w:after="80"/>
      </w:pPr>
      <w:r>
        <w:rPr>
          <w:b/>
          <w:bCs/>
        </w:rPr>
        <w:t xml:space="preserve">Daily Stand-ups:</w:t>
      </w:r>
      <w:r>
        <w:t xml:space="preserve"> 15-minute daily synchronizations within the delivery team</w:t>
      </w:r>
    </w:p>
    <w:p>
      <w:pPr>
        <w:pStyle w:val="ListParagraph"/>
        <w:numPr>
          <w:ilvl w:val="0"/>
          <w:numId w:val="2"/>
        </w:numPr>
        <w:spacing w:after="80"/>
      </w:pPr>
      <w:r>
        <w:rPr>
          <w:b/>
          <w:bCs/>
        </w:rPr>
        <w:t xml:space="preserve">Change Control Board:</w:t>
      </w:r>
      <w:r>
        <w:t xml:space="preserve"> Formal process for evaluating and approving scope changes, ensuring budget and timeline integrity</w:t>
      </w:r>
    </w:p>
    <w:p>
      <w:pPr>
        <w:pStyle w:val="ListParagraph"/>
        <w:numPr>
          <w:ilvl w:val="0"/>
          <w:numId w:val="2"/>
        </w:numPr>
        <w:spacing w:after="80"/>
      </w:pPr>
      <w:r>
        <w:rPr>
          <w:b/>
          <w:bCs/>
        </w:rPr>
        <w:t xml:space="preserve">RAID Log Management:</w:t>
      </w:r>
      <w:r>
        <w:t xml:space="preserve"> Continuously maintained Risks, Assumptions, Issues, and Decisions log shared transparently with all stakeholders</w:t>
      </w:r>
    </w:p>
    <w:p>
      <w:pPr>
        <w:pStyle w:val="Heading2"/>
      </w:pPr>
      <w:r>
        <w:t xml:space="preserve">Tools &amp; Reporting</w:t>
      </w:r>
    </w:p>
    <w:p>
      <w:pPr>
        <w:spacing w:after="160" w:line="300"/>
        <w:jc w:val="both"/>
      </w:pPr>
      <w:r>
        <w:t xml:space="preserve">We leverage industry-standard project management tools (e.g., Jira, Confluence, Microsoft Project) and provide weekly status reports encompassing sprint velocity, milestone progress, budget burn, risk status, and upcoming deliverables.</w:t>
      </w:r>
    </w:p>
    <w:p>
      <w:pPr>
        <w:pBdr>
          <w:bottom w:val="single" w:color="BFBFBF" w:sz="6" w:space="1"/>
        </w:pBdr>
        <w:spacing w:before="120" w:after="120"/>
      </w:pPr>
      <w:r>
        <w:t xml:space="preserve"/>
      </w:r>
    </w:p>
    <w:p>
      <w:pPr>
        <w:pStyle w:val="Heading1"/>
      </w:pPr>
      <w:r>
        <w:t xml:space="preserve">What is your risk mitigation strategy, specifically addressing business continuity during the WMS API integration phase?</w:t>
      </w:r>
    </w:p>
    <w:p>
      <w:pPr>
        <w:pBdr>
          <w:left w:val="single" w:color="2E74B5" w:sz="12" w:space="8"/>
        </w:pBdr>
        <w:spacing w:after="160"/>
        <w:ind w:left="360"/>
      </w:pPr>
      <w:r>
        <w:rPr>
          <w:i/>
          <w:iCs/>
          <w:color w:val="595959"/>
          <w:sz w:val="20"/>
          <w:szCs w:val="20"/>
        </w:rPr>
        <w:t xml:space="preserve">Source: Content Library — Services, Specialties, Standards</w:t>
      </w:r>
    </w:p>
    <w:p>
      <w:pPr>
        <w:pStyle w:val="Heading2"/>
      </w:pPr>
      <w:r>
        <w:t xml:space="preserve">Comprehensive Risk Mitigation Framework</w:t>
      </w:r>
    </w:p>
    <w:p>
      <w:pPr>
        <w:spacing w:after="160" w:line="300"/>
        <w:jc w:val="both"/>
      </w:pPr>
      <w:r>
        <w:t xml:space="preserve">Acme Solutions applies a structured risk management approach throughout every engagement. For the Nexus Global Logistics Cloud ERP and WMS integration, we recognize that the WMS API integration phase carries the highest business continuity risk — as warehouse operations must remain uninterrupted during the transition. Our strategy addresses this through the following layers:</w:t>
      </w:r>
    </w:p>
    <w:p>
      <w:pPr>
        <w:pStyle w:val="Heading2"/>
      </w:pPr>
      <w:r>
        <w:t xml:space="preserve">1. Risk Identification &amp; Planning (Discovery Phase)</w:t>
      </w:r>
    </w:p>
    <w:p>
      <w:pPr>
        <w:spacing w:after="160" w:line="300"/>
        <w:jc w:val="both"/>
      </w:pPr>
      <w:r>
        <w:t xml:space="preserve">During Discovery &amp; Assessment, we build a formal </w:t>
      </w:r>
      <w:r>
        <w:rPr>
          <w:b/>
          <w:bCs/>
        </w:rPr>
        <w:t xml:space="preserve">Risk Register</w:t>
      </w:r>
      <w:r>
        <w:t xml:space="preserve"> that identifies, categorizes, and prioritizes risks across the following dimensions:</w:t>
      </w:r>
    </w:p>
    <w:p>
      <w:pPr>
        <w:pStyle w:val="ListParagraph"/>
        <w:numPr>
          <w:ilvl w:val="0"/>
          <w:numId w:val="2"/>
        </w:numPr>
        <w:spacing w:after="80"/>
      </w:pPr>
      <w:r>
        <w:rPr>
          <w:b/>
          <w:bCs/>
        </w:rPr>
        <w:t xml:space="preserve">Technical Risks:</w:t>
      </w:r>
      <w:r>
        <w:t xml:space="preserve"> API compatibility, data format mismatches, latency and throughput constraints, authentication failures</w:t>
      </w:r>
    </w:p>
    <w:p>
      <w:pPr>
        <w:pStyle w:val="ListParagraph"/>
        <w:numPr>
          <w:ilvl w:val="0"/>
          <w:numId w:val="2"/>
        </w:numPr>
        <w:spacing w:after="80"/>
      </w:pPr>
      <w:r>
        <w:rPr>
          <w:b/>
          <w:bCs/>
        </w:rPr>
        <w:t xml:space="preserve">Operational Risks:</w:t>
      </w:r>
      <w:r>
        <w:t xml:space="preserve"> Warehouse downtime, order processing delays, inventory discrepancies</w:t>
      </w:r>
    </w:p>
    <w:p>
      <w:pPr>
        <w:pStyle w:val="ListParagraph"/>
        <w:numPr>
          <w:ilvl w:val="0"/>
          <w:numId w:val="2"/>
        </w:numPr>
        <w:spacing w:after="80"/>
      </w:pPr>
      <w:r>
        <w:rPr>
          <w:b/>
          <w:bCs/>
        </w:rPr>
        <w:t xml:space="preserve">Organizational Risks:</w:t>
      </w:r>
      <w:r>
        <w:t xml:space="preserve"> Resource availability, change resistance, knowledge gaps</w:t>
      </w:r>
    </w:p>
    <w:p>
      <w:pPr>
        <w:pStyle w:val="ListParagraph"/>
        <w:numPr>
          <w:ilvl w:val="0"/>
          <w:numId w:val="2"/>
        </w:numPr>
        <w:spacing w:after="80"/>
      </w:pPr>
      <w:r>
        <w:rPr>
          <w:b/>
          <w:bCs/>
        </w:rPr>
        <w:t xml:space="preserve">External Risks:</w:t>
      </w:r>
      <w:r>
        <w:t xml:space="preserve"> Third-party vendor dependencies, network/connectivity issues</w:t>
      </w:r>
    </w:p>
    <w:p>
      <w:pPr>
        <w:spacing w:after="160" w:line="300"/>
        <w:jc w:val="both"/>
      </w:pPr>
      <w:r>
        <w:t xml:space="preserve">Each risk is assigned an owner, probability score, impact score, and a documented mitigation plan. The Risk Register is reviewed weekly during the integration phase and bi-weekly in all other phases.</w:t>
      </w:r>
    </w:p>
    <w:p>
      <w:pPr>
        <w:pStyle w:val="Heading2"/>
      </w:pPr>
      <w:r>
        <w:t xml:space="preserve">2. Business Continuity During WMS API Integration</w:t>
      </w:r>
    </w:p>
    <w:p>
      <w:pPr>
        <w:spacing w:after="160" w:line="300"/>
        <w:jc w:val="both"/>
      </w:pPr>
      <w:r>
        <w:t xml:space="preserve">To ensure uninterrupted warehouse operations, we implement the following specific strategies:</w:t>
      </w:r>
    </w:p>
    <w:p>
      <w:pPr>
        <w:spacing w:after="160" w:line="300"/>
        <w:jc w:val="both"/>
      </w:pPr>
      <w:r>
        <w:rPr>
          <w:b/>
          <w:bCs/>
        </w:rPr>
        <w:t xml:space="preserve">Parallel Run Architecture</w:t>
      </w:r>
    </w:p>
    <w:p>
      <w:pPr>
        <w:pStyle w:val="ListParagraph"/>
        <w:numPr>
          <w:ilvl w:val="0"/>
          <w:numId w:val="2"/>
        </w:numPr>
        <w:spacing w:after="80"/>
      </w:pPr>
      <w:r>
        <w:t xml:space="preserve">We deploy the new ERP-to-WMS integration in a </w:t>
      </w:r>
      <w:r>
        <w:rPr>
          <w:b/>
          <w:bCs/>
        </w:rPr>
        <w:t xml:space="preserve">parallel run</w:t>
      </w:r>
      <w:r>
        <w:t xml:space="preserve"> configuration, where both the legacy integration path and the new API-based path operate simultaneously for a defined stabilization period (typically 2–4 weeks)</w:t>
      </w:r>
    </w:p>
    <w:p>
      <w:pPr>
        <w:pStyle w:val="ListParagraph"/>
        <w:numPr>
          <w:ilvl w:val="0"/>
          <w:numId w:val="2"/>
        </w:numPr>
        <w:spacing w:after="80"/>
      </w:pPr>
      <w:r>
        <w:t xml:space="preserve">Transactions are validated against both systems, and discrepancies are flagged for immediate investigation</w:t>
      </w:r>
    </w:p>
    <w:p>
      <w:pPr>
        <w:pStyle w:val="ListParagraph"/>
        <w:numPr>
          <w:ilvl w:val="0"/>
          <w:numId w:val="2"/>
        </w:numPr>
        <w:spacing w:after="80"/>
      </w:pPr>
      <w:r>
        <w:t xml:space="preserve">Cutover to the new integration path occurs only after achieving a pre-defined accuracy threshold (e.g., 99.9% transaction matching)</w:t>
      </w:r>
    </w:p>
    <w:p>
      <w:pPr>
        <w:spacing w:after="160" w:line="300"/>
        <w:jc w:val="both"/>
      </w:pPr>
      <w:r>
        <w:rPr>
          <w:b/>
          <w:bCs/>
        </w:rPr>
        <w:t xml:space="preserve">API Gateway &amp; Circuit Breaker Patterns</w:t>
      </w:r>
    </w:p>
    <w:p>
      <w:pPr>
        <w:pStyle w:val="ListParagraph"/>
        <w:numPr>
          <w:ilvl w:val="0"/>
          <w:numId w:val="2"/>
        </w:numPr>
        <w:spacing w:after="80"/>
      </w:pPr>
      <w:r>
        <w:t xml:space="preserve">All WMS API calls route through a managed API Gateway (Acme supports AWS API Gateway, Azure API Management, or equivalent) with built-in rate limiting, retry logic, and circuit breaker patterns</w:t>
      </w:r>
    </w:p>
    <w:p>
      <w:pPr>
        <w:pStyle w:val="ListParagraph"/>
        <w:numPr>
          <w:ilvl w:val="0"/>
          <w:numId w:val="2"/>
        </w:numPr>
        <w:spacing w:after="80"/>
      </w:pPr>
      <w:r>
        <w:t xml:space="preserve">If the new integration encounters errors exceeding a defined threshold, the circuit breaker automatically falls back to the legacy path, ensuring zero disruption to warehouse operations</w:t>
      </w:r>
    </w:p>
    <w:p>
      <w:pPr>
        <w:pStyle w:val="ListParagraph"/>
        <w:numPr>
          <w:ilvl w:val="0"/>
          <w:numId w:val="2"/>
        </w:numPr>
        <w:spacing w:after="80"/>
      </w:pPr>
      <w:r>
        <w:t xml:space="preserve">Our API Gateway uptime SLA is 99.95% (≤21.9 minutes downtime/month)</w:t>
      </w:r>
    </w:p>
    <w:p>
      <w:pPr>
        <w:spacing w:after="160" w:line="300"/>
        <w:jc w:val="both"/>
      </w:pPr>
      <w:r>
        <w:rPr>
          <w:b/>
          <w:bCs/>
        </w:rPr>
        <w:t xml:space="preserve">Message Queue Buffering</w:t>
      </w:r>
    </w:p>
    <w:p>
      <w:pPr>
        <w:pStyle w:val="ListParagraph"/>
        <w:numPr>
          <w:ilvl w:val="0"/>
          <w:numId w:val="2"/>
        </w:numPr>
        <w:spacing w:after="80"/>
      </w:pPr>
      <w:r>
        <w:t xml:space="preserve">We implement message queue buffering (Apache Kafka or AWS SQS/SNS) between the ERP and WMS to absorb traffic spikes, handle transient failures, and guarantee message delivery</w:t>
      </w:r>
    </w:p>
    <w:p>
      <w:pPr>
        <w:pStyle w:val="ListParagraph"/>
        <w:numPr>
          <w:ilvl w:val="0"/>
          <w:numId w:val="2"/>
        </w:numPr>
        <w:spacing w:after="80"/>
      </w:pPr>
      <w:r>
        <w:t xml:space="preserve">This architecture ensures that no transactions are lost even during temporary API unavailability</w:t>
      </w:r>
    </w:p>
    <w:p>
      <w:pPr>
        <w:spacing w:after="160" w:line="300"/>
        <w:jc w:val="both"/>
      </w:pPr>
      <w:r>
        <w:rPr>
          <w:b/>
          <w:bCs/>
        </w:rPr>
        <w:t xml:space="preserve">Rollback Plan</w:t>
      </w:r>
    </w:p>
    <w:p>
      <w:pPr>
        <w:pStyle w:val="ListParagraph"/>
        <w:numPr>
          <w:ilvl w:val="0"/>
          <w:numId w:val="2"/>
        </w:numPr>
        <w:spacing w:after="80"/>
      </w:pPr>
      <w:r>
        <w:t xml:space="preserve">A documented, tested rollback plan is maintained at every stage of the integration</w:t>
      </w:r>
    </w:p>
    <w:p>
      <w:pPr>
        <w:pStyle w:val="ListParagraph"/>
        <w:numPr>
          <w:ilvl w:val="0"/>
          <w:numId w:val="2"/>
        </w:numPr>
        <w:spacing w:after="80"/>
      </w:pPr>
      <w:r>
        <w:t xml:space="preserve">Rollback procedures are rehearsed during the Integration &amp; Testing phase, with a target rollback execution time of under 2 hours</w:t>
      </w:r>
    </w:p>
    <w:p>
      <w:pPr>
        <w:pStyle w:val="Heading2"/>
      </w:pPr>
      <w:r>
        <w:t xml:space="preserve">3. Data Integrity Safeguards</w:t>
      </w:r>
    </w:p>
    <w:p>
      <w:pPr>
        <w:pStyle w:val="ListParagraph"/>
        <w:numPr>
          <w:ilvl w:val="0"/>
          <w:numId w:val="2"/>
        </w:numPr>
        <w:spacing w:after="80"/>
      </w:pPr>
      <w:r>
        <w:rPr>
          <w:b/>
          <w:bCs/>
        </w:rPr>
        <w:t xml:space="preserve">Pre-migration data validation:</w:t>
      </w:r>
      <w:r>
        <w:t xml:space="preserve"> Automated reconciliation scripts verify data completeness and accuracy before, during, and after migration</w:t>
      </w:r>
    </w:p>
    <w:p>
      <w:pPr>
        <w:pStyle w:val="ListParagraph"/>
        <w:numPr>
          <w:ilvl w:val="0"/>
          <w:numId w:val="2"/>
        </w:numPr>
        <w:spacing w:after="80"/>
      </w:pPr>
      <w:r>
        <w:rPr>
          <w:b/>
          <w:bCs/>
        </w:rPr>
        <w:t xml:space="preserve">Encryption in transit and at rest:</w:t>
      </w:r>
      <w:r>
        <w:t xml:space="preserve"> AES-256 at rest, TLS 1.3 in transit</w:t>
      </w:r>
    </w:p>
    <w:p>
      <w:pPr>
        <w:pStyle w:val="ListParagraph"/>
        <w:numPr>
          <w:ilvl w:val="0"/>
          <w:numId w:val="2"/>
        </w:numPr>
        <w:spacing w:after="80"/>
      </w:pPr>
      <w:r>
        <w:rPr>
          <w:b/>
          <w:bCs/>
        </w:rPr>
        <w:t xml:space="preserve">Immutable audit logging:</w:t>
      </w:r>
      <w:r>
        <w:t xml:space="preserve"> All data movements are logged with 90-day immutable retention for traceability and compliance</w:t>
      </w:r>
    </w:p>
    <w:p>
      <w:pPr>
        <w:pStyle w:val="Heading2"/>
      </w:pPr>
      <w:r>
        <w:t xml:space="preserve">4. Incident Response</w:t>
      </w:r>
    </w:p>
    <w:p>
      <w:pPr>
        <w:spacing w:after="160" w:line="300"/>
        <w:jc w:val="both"/>
      </w:pPr>
      <w:r>
        <w:t xml:space="preserve">During the WMS integration phase, Acme provides an </w:t>
      </w:r>
      <w:r>
        <w:rPr>
          <w:b/>
          <w:bCs/>
        </w:rPr>
        <w:t xml:space="preserve">elevated incident response posture</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Priority</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Response Time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Resolution Target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P1 — Critical (production outage, data loss risk)</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15 minutes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hours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P2 — High (major feature degraded)</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hour</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8 business hours</w:t>
            </w:r>
          </w:p>
        </w:tc>
      </w:tr>
    </w:tbl>
    <w:p>
      <w:pPr>
        <w:spacing w:after="120"/>
      </w:pPr>
      <w:r>
        <w:t xml:space="preserve"/>
      </w:r>
    </w:p>
    <w:p>
      <w:pPr>
        <w:spacing w:after="160" w:line="300"/>
        <w:jc w:val="both"/>
      </w:pPr>
      <w:r>
        <w:t xml:space="preserve">A dedicated on-call rotation with defined escalation paths ensures rapid response. All P1 incidents receive a post-incident review within 5 business days.</w:t>
      </w:r>
    </w:p>
    <w:p>
      <w:pPr>
        <w:pStyle w:val="Heading2"/>
      </w:pPr>
      <w:r>
        <w:t xml:space="preserve">5. Continuous Monitoring</w:t>
      </w:r>
    </w:p>
    <w:p>
      <w:pPr>
        <w:spacing w:after="160" w:line="300"/>
        <w:jc w:val="both"/>
      </w:pPr>
      <w:r>
        <w:t xml:space="preserve">24/7 infrastructure and application monitoring with PagerDuty escalation chains is activated during the integration phase. SLO dashboards are published to Nexus stakeholders weekly, providing real-time visibility into system health, integration throughput, and error rates.</w:t>
      </w:r>
    </w:p>
    <w:p>
      <w:pPr>
        <w:pBdr>
          <w:bottom w:val="single" w:color="BFBFBF" w:sz="6" w:space="1"/>
        </w:pBdr>
        <w:spacing w:before="120" w:after="120"/>
      </w:pPr>
      <w:r>
        <w:t xml:space="preserve"/>
      </w:r>
    </w:p>
    <w:p>
      <w:pPr>
        <w:pStyle w:val="Heading1"/>
      </w:pPr>
      <w:r>
        <w:t xml:space="preserve">What are your quality assurance and User Acceptance Testing (UAT) frameworks?</w:t>
      </w:r>
    </w:p>
    <w:p>
      <w:pPr>
        <w:pBdr>
          <w:left w:val="single" w:color="2E74B5" w:sz="12" w:space="8"/>
        </w:pBdr>
        <w:spacing w:after="160"/>
        <w:ind w:left="360"/>
      </w:pPr>
      <w:r>
        <w:rPr>
          <w:i/>
          <w:iCs/>
          <w:color w:val="595959"/>
          <w:sz w:val="20"/>
          <w:szCs w:val="20"/>
        </w:rPr>
        <w:t xml:space="preserve">Source: Content Library — Standards, Services</w:t>
      </w:r>
    </w:p>
    <w:p>
      <w:pPr>
        <w:pStyle w:val="Heading2"/>
      </w:pPr>
      <w:r>
        <w:t xml:space="preserve">Quality Assurance Framework</w:t>
      </w:r>
    </w:p>
    <w:p>
      <w:pPr>
        <w:spacing w:after="160" w:line="300"/>
        <w:jc w:val="both"/>
      </w:pPr>
      <w:r>
        <w:t xml:space="preserve">Acme Solutions embeds quality assurance throughout the entire project lifecycle — not as an afterthought, but as an integral part of every sprint, every deliverable, and every deployment. Our QA framework for the Nexus Cloud ERP and WMS integration encompasses the following:</w:t>
      </w:r>
    </w:p>
    <w:p>
      <w:pPr>
        <w:pStyle w:val="Heading3"/>
      </w:pPr>
      <w:r>
        <w:t xml:space="preserve">Multi-Layered Testing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Test Type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Scope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Timing</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Unit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Individual modules, functions, and API endpoints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During development (every sprint)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Integration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ERP-to-WMS API interactions, data flows, messaging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End of each integration sprint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System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End-to-end business processes across all integrated systems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Post-build, pre-UAT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Regression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Automated suites to ensure new changes do not break existing functionality</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Every deployment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Performance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Load, stress, and scalability testing of API integrations and ERP processes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Pre-deployment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Security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OWASP Top 10 mitigations verified, SAST scanning in CI, penetration testing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Pre-deployment</w:t>
            </w:r>
          </w:p>
        </w:tc>
      </w:tr>
    </w:tbl>
    <w:p>
      <w:pPr>
        <w:spacing w:after="120"/>
      </w:pPr>
      <w:r>
        <w:t xml:space="preserve"/>
      </w:r>
    </w:p>
    <w:p>
      <w:pPr>
        <w:pStyle w:val="Heading3"/>
      </w:pPr>
      <w:r>
        <w:t xml:space="preserve">Development Standards Enforcing Quality</w:t>
      </w:r>
    </w:p>
    <w:p>
      <w:pPr>
        <w:spacing w:after="160" w:line="300"/>
        <w:jc w:val="both"/>
      </w:pPr>
      <w:r>
        <w:t xml:space="preserve">All deliverables conform to rigorous development standards:</w:t>
      </w:r>
    </w:p>
    <w:p>
      <w:pPr>
        <w:pStyle w:val="ListParagraph"/>
        <w:numPr>
          <w:ilvl w:val="0"/>
          <w:numId w:val="2"/>
        </w:numPr>
        <w:spacing w:after="80"/>
      </w:pPr>
      <w:r>
        <w:rPr>
          <w:b/>
          <w:bCs/>
        </w:rPr>
        <w:t xml:space="preserve">Minimum 80% line coverage</w:t>
      </w:r>
      <w:r>
        <w:t xml:space="preserve"> for unit, integration, and end-to-end test suites</w:t>
      </w:r>
    </w:p>
    <w:p>
      <w:pPr>
        <w:pStyle w:val="ListParagraph"/>
        <w:numPr>
          <w:ilvl w:val="0"/>
          <w:numId w:val="2"/>
        </w:numPr>
        <w:spacing w:after="80"/>
      </w:pPr>
      <w:r>
        <w:rPr>
          <w:b/>
          <w:bCs/>
        </w:rPr>
        <w:t xml:space="preserve">SAST (Static Application Security Testing)</w:t>
      </w:r>
      <w:r>
        <w:t xml:space="preserve"> scanning integrated into CI pipelines — no deployment proceeds without passing security gates</w:t>
      </w:r>
    </w:p>
    <w:p>
      <w:pPr>
        <w:pStyle w:val="ListParagraph"/>
        <w:numPr>
          <w:ilvl w:val="0"/>
          <w:numId w:val="2"/>
        </w:numPr>
        <w:spacing w:after="80"/>
      </w:pPr>
      <w:r>
        <w:rPr>
          <w:b/>
          <w:bCs/>
        </w:rPr>
        <w:t xml:space="preserve">Code review required</w:t>
      </w:r>
      <w:r>
        <w:t xml:space="preserve"> for all pull requests; no direct commits to </w:t>
      </w:r>
      <w:r>
        <w:rPr>
          <w:rFonts w:ascii="Consolas" w:cs="Consolas" w:eastAsia="Consolas" w:hAnsi="Consolas"/>
          <w:sz w:val="20"/>
          <w:szCs w:val="20"/>
        </w:rPr>
        <w:t xml:space="preserve">main</w:t>
      </w:r>
      <w:r>
        <w:t xml:space="preserve"> or </w:t>
      </w:r>
      <w:r>
        <w:rPr>
          <w:rFonts w:ascii="Consolas" w:cs="Consolas" w:eastAsia="Consolas" w:hAnsi="Consolas"/>
          <w:sz w:val="20"/>
          <w:szCs w:val="20"/>
        </w:rPr>
        <w:t xml:space="preserve">production</w:t>
      </w:r>
      <w:r>
        <w:t xml:space="preserve"> branches</w:t>
      </w:r>
    </w:p>
    <w:p>
      <w:pPr>
        <w:pStyle w:val="ListParagraph"/>
        <w:numPr>
          <w:ilvl w:val="0"/>
          <w:numId w:val="2"/>
        </w:numPr>
        <w:spacing w:after="80"/>
      </w:pPr>
      <w:r>
        <w:rPr>
          <w:b/>
          <w:bCs/>
        </w:rPr>
        <w:t xml:space="preserve">OpenAPI 3.1 specifications</w:t>
      </w:r>
      <w:r>
        <w:t xml:space="preserve"> for all REST endpoints, ensuring interface contracts are documented and testable</w:t>
      </w:r>
    </w:p>
    <w:p>
      <w:pPr>
        <w:pStyle w:val="ListParagraph"/>
        <w:numPr>
          <w:ilvl w:val="0"/>
          <w:numId w:val="2"/>
        </w:numPr>
        <w:spacing w:after="80"/>
      </w:pPr>
      <w:r>
        <w:rPr>
          <w:b/>
          <w:bCs/>
        </w:rPr>
        <w:t xml:space="preserve">WCAG 2.1 AA compliance</w:t>
      </w:r>
      <w:r>
        <w:t xml:space="preserve"> for all customer-facing interfaces</w:t>
      </w:r>
    </w:p>
    <w:p>
      <w:pPr>
        <w:pStyle w:val="Heading3"/>
      </w:pPr>
      <w:r>
        <w:t xml:space="preserve">Automated CI/CD Pipeline</w:t>
      </w:r>
    </w:p>
    <w:p>
      <w:pPr>
        <w:spacing w:after="160" w:line="300"/>
        <w:jc w:val="both"/>
      </w:pPr>
      <w:r>
        <w:t xml:space="preserve">Our CI/CD pipeline automates build, test, and deployment processes:</w:t>
      </w:r>
    </w:p>
    <w:p>
      <w:pPr>
        <w:pStyle w:val="ListParagraph"/>
        <w:numPr>
          <w:ilvl w:val="0"/>
          <w:numId w:val="3"/>
        </w:numPr>
        <w:spacing w:after="80"/>
      </w:pPr>
      <w:r>
        <w:t xml:space="preserve">Developer commits code → automated linting and style checks</w:t>
      </w:r>
    </w:p>
    <w:p>
      <w:pPr>
        <w:pStyle w:val="ListParagraph"/>
        <w:numPr>
          <w:ilvl w:val="0"/>
          <w:numId w:val="3"/>
        </w:numPr>
        <w:spacing w:after="80"/>
      </w:pPr>
      <w:r>
        <w:t xml:space="preserve">Unit and integration tests execute automatically</w:t>
      </w:r>
    </w:p>
    <w:p>
      <w:pPr>
        <w:pStyle w:val="ListParagraph"/>
        <w:numPr>
          <w:ilvl w:val="0"/>
          <w:numId w:val="3"/>
        </w:numPr>
        <w:spacing w:after="80"/>
      </w:pPr>
      <w:r>
        <w:t xml:space="preserve">SAST security scanning runs in parallel</w:t>
      </w:r>
    </w:p>
    <w:p>
      <w:pPr>
        <w:pStyle w:val="ListParagraph"/>
        <w:numPr>
          <w:ilvl w:val="0"/>
          <w:numId w:val="3"/>
        </w:numPr>
        <w:spacing w:after="80"/>
      </w:pPr>
      <w:r>
        <w:t xml:space="preserve">Successful builds deploy to staging/QA environment</w:t>
      </w:r>
    </w:p>
    <w:p>
      <w:pPr>
        <w:pStyle w:val="ListParagraph"/>
        <w:numPr>
          <w:ilvl w:val="0"/>
          <w:numId w:val="3"/>
        </w:numPr>
        <w:spacing w:after="80"/>
      </w:pPr>
      <w:r>
        <w:t xml:space="preserve">Automated regression suite runs against the staging environment</w:t>
      </w:r>
    </w:p>
    <w:p>
      <w:pPr>
        <w:pStyle w:val="ListParagraph"/>
        <w:numPr>
          <w:ilvl w:val="0"/>
          <w:numId w:val="3"/>
        </w:numPr>
        <w:spacing w:after="80"/>
      </w:pPr>
      <w:r>
        <w:t xml:space="preserve">Manual QA review and sign-off before promotion to production</w:t>
      </w:r>
    </w:p>
    <w:p>
      <w:pPr>
        <w:pStyle w:val="Heading2"/>
      </w:pPr>
      <w:r>
        <w:t xml:space="preserve">User Acceptance Testing (UAT) Framework</w:t>
      </w:r>
    </w:p>
    <w:p>
      <w:pPr>
        <w:spacing w:after="160" w:line="300"/>
        <w:jc w:val="both"/>
      </w:pPr>
      <w:r>
        <w:t xml:space="preserve">UAT is the final validation gate before go-live and ensures that the solution meets Nexus Global Logistics' business requirements as experienced by actual end users.</w:t>
      </w:r>
    </w:p>
    <w:p>
      <w:pPr>
        <w:pStyle w:val="Heading3"/>
      </w:pPr>
      <w:r>
        <w:t xml:space="preserve">UAT Planning (During Design Phase)</w:t>
      </w:r>
    </w:p>
    <w:p>
      <w:pPr>
        <w:pStyle w:val="ListParagraph"/>
        <w:numPr>
          <w:ilvl w:val="0"/>
          <w:numId w:val="2"/>
        </w:numPr>
        <w:spacing w:after="80"/>
      </w:pPr>
      <w:r>
        <w:rPr>
          <w:b/>
          <w:bCs/>
        </w:rPr>
        <w:t xml:space="preserve">UAT Plan</w:t>
      </w:r>
      <w:r>
        <w:t xml:space="preserve"> document defining scope, test scenarios, entry/exit criteria, roles, and schedule</w:t>
      </w:r>
    </w:p>
    <w:p>
      <w:pPr>
        <w:pStyle w:val="ListParagraph"/>
        <w:numPr>
          <w:ilvl w:val="0"/>
          <w:numId w:val="2"/>
        </w:numPr>
        <w:spacing w:after="80"/>
      </w:pPr>
      <w:r>
        <w:t xml:space="preserve">Test scenarios are derived directly from the Business Requirements Document (BRD) and mapped to specific functional areas (e.g., order-to-cash, inventory management, warehouse operations)</w:t>
      </w:r>
    </w:p>
    <w:p>
      <w:pPr>
        <w:pStyle w:val="ListParagraph"/>
        <w:numPr>
          <w:ilvl w:val="0"/>
          <w:numId w:val="2"/>
        </w:numPr>
        <w:spacing w:after="80"/>
      </w:pPr>
      <w:r>
        <w:t xml:space="preserve">Nexus designates </w:t>
      </w:r>
      <w:r>
        <w:rPr>
          <w:b/>
          <w:bCs/>
        </w:rPr>
        <w:t xml:space="preserve">UAT leads</w:t>
      </w:r>
      <w:r>
        <w:t xml:space="preserve"> from each functional area (finance, operations, warehouse, IT)</w:t>
      </w:r>
    </w:p>
    <w:p>
      <w:pPr>
        <w:pStyle w:val="Heading3"/>
      </w:pPr>
      <w:r>
        <w:t xml:space="preserve">UAT Execution (Dedicated 2–3 Week Window)</w:t>
      </w:r>
    </w:p>
    <w:p>
      <w:pPr>
        <w:pStyle w:val="ListParagraph"/>
        <w:numPr>
          <w:ilvl w:val="0"/>
          <w:numId w:val="2"/>
        </w:numPr>
        <w:spacing w:after="80"/>
      </w:pPr>
      <w:r>
        <w:t xml:space="preserve">Nexus business users execute pre-defined test scripts in a dedicated UAT environment that mirrors production</w:t>
      </w:r>
    </w:p>
    <w:p>
      <w:pPr>
        <w:pStyle w:val="ListParagraph"/>
        <w:numPr>
          <w:ilvl w:val="0"/>
          <w:numId w:val="2"/>
        </w:numPr>
        <w:spacing w:after="80"/>
      </w:pPr>
      <w:r>
        <w:t xml:space="preserve">Acme provides a </w:t>
      </w:r>
      <w:r>
        <w:rPr>
          <w:b/>
          <w:bCs/>
        </w:rPr>
        <w:t xml:space="preserve">UAT Coordinator</w:t>
      </w:r>
      <w:r>
        <w:t xml:space="preserve"> and dedicated QA/Test Engineers (billed at $115/hr) to support test execution, defect triage, and environment management</w:t>
      </w:r>
    </w:p>
    <w:p>
      <w:pPr>
        <w:pStyle w:val="ListParagraph"/>
        <w:numPr>
          <w:ilvl w:val="0"/>
          <w:numId w:val="2"/>
        </w:numPr>
        <w:spacing w:after="80"/>
      </w:pPr>
      <w:r>
        <w:t xml:space="preserve">Defects are logged, triaged by severity, and resolved in priority order:</w:t>
      </w:r>
    </w:p>
    <w:p>
      <w:pPr>
        <w:pStyle w:val="ListParagraph"/>
        <w:numPr>
          <w:ilvl w:val="0"/>
          <w:numId w:val="2"/>
        </w:numPr>
        <w:spacing w:after="80"/>
      </w:pPr>
      <w:r>
        <w:rPr>
          <w:b/>
          <w:bCs/>
        </w:rPr>
        <w:t xml:space="preserve">Critical/High:</w:t>
      </w:r>
      <w:r>
        <w:t xml:space="preserve"> Must be resolved before go-live</w:t>
      </w:r>
    </w:p>
    <w:p>
      <w:pPr>
        <w:pStyle w:val="ListParagraph"/>
        <w:numPr>
          <w:ilvl w:val="0"/>
          <w:numId w:val="2"/>
        </w:numPr>
        <w:spacing w:after="80"/>
      </w:pPr>
      <w:r>
        <w:rPr>
          <w:b/>
          <w:bCs/>
        </w:rPr>
        <w:t xml:space="preserve">Medium:</w:t>
      </w:r>
      <w:r>
        <w:t xml:space="preserve"> Resolved during hypercare or first maintenance sprint</w:t>
      </w:r>
    </w:p>
    <w:p>
      <w:pPr>
        <w:pStyle w:val="ListParagraph"/>
        <w:numPr>
          <w:ilvl w:val="0"/>
          <w:numId w:val="2"/>
        </w:numPr>
        <w:spacing w:after="80"/>
      </w:pPr>
      <w:r>
        <w:rPr>
          <w:b/>
          <w:bCs/>
        </w:rPr>
        <w:t xml:space="preserve">Low:</w:t>
      </w:r>
      <w:r>
        <w:t xml:space="preserve"> Added to post-go-live backlog</w:t>
      </w:r>
    </w:p>
    <w:p>
      <w:pPr>
        <w:pStyle w:val="Heading3"/>
      </w:pPr>
      <w:r>
        <w:t xml:space="preserve">UAT Acceptance Criteria</w:t>
      </w:r>
    </w:p>
    <w:p>
      <w:pPr>
        <w:pStyle w:val="ListParagraph"/>
        <w:numPr>
          <w:ilvl w:val="0"/>
          <w:numId w:val="2"/>
        </w:numPr>
        <w:spacing w:after="80"/>
      </w:pPr>
      <w:r>
        <w:t xml:space="preserve">All Critical and High-severity defects resolved</w:t>
      </w:r>
    </w:p>
    <w:p>
      <w:pPr>
        <w:pStyle w:val="ListParagraph"/>
        <w:numPr>
          <w:ilvl w:val="0"/>
          <w:numId w:val="2"/>
        </w:numPr>
        <w:spacing w:after="80"/>
      </w:pPr>
      <w:r>
        <w:t xml:space="preserve">≥95% of test scenarios pass successfully</w:t>
      </w:r>
    </w:p>
    <w:p>
      <w:pPr>
        <w:pStyle w:val="ListParagraph"/>
        <w:numPr>
          <w:ilvl w:val="0"/>
          <w:numId w:val="2"/>
        </w:numPr>
        <w:spacing w:after="80"/>
      </w:pPr>
      <w:r>
        <w:t xml:space="preserve">Written sign-off from Nexus's designated project sponsor</w:t>
      </w:r>
    </w:p>
    <w:p>
      <w:pPr>
        <w:pStyle w:val="ListParagraph"/>
        <w:numPr>
          <w:ilvl w:val="0"/>
          <w:numId w:val="2"/>
        </w:numPr>
        <w:spacing w:after="80"/>
      </w:pPr>
      <w:r>
        <w:t xml:space="preserve">If no written objection is received within 10 business days of UAT completion, deliverables are deemed accepted per our standard acceptance criteria</w:t>
      </w:r>
    </w:p>
    <w:p>
      <w:pPr>
        <w:pBdr>
          <w:bottom w:val="single" w:color="BFBFBF" w:sz="6" w:space="1"/>
        </w:pBdr>
        <w:spacing w:before="120" w:after="120"/>
      </w:pPr>
      <w:r>
        <w:t xml:space="preserve"/>
      </w:r>
    </w:p>
    <w:p>
      <w:pPr>
        <w:pStyle w:val="Heading1"/>
      </w:pPr>
      <w:r>
        <w:t xml:space="preserve">Provide a proposed project timeline breaking down major phases (Discovery &amp; Design, Build &amp; Configuration, Integration &amp; Testing, Deployment, Support) with deliverables and target completion dates, with an anticipated kickoff in July 2026.</w:t>
      </w:r>
    </w:p>
    <w:p>
      <w:pPr>
        <w:pBdr>
          <w:left w:val="single" w:color="2E74B5" w:sz="12" w:space="8"/>
        </w:pBdr>
        <w:spacing w:after="160"/>
        <w:ind w:left="360"/>
      </w:pPr>
      <w:r>
        <w:rPr>
          <w:i/>
          <w:iCs/>
          <w:color w:val="595959"/>
          <w:sz w:val="20"/>
          <w:szCs w:val="20"/>
        </w:rPr>
        <w:t xml:space="preserve">Source: Content Library — Services</w:t>
      </w:r>
    </w:p>
    <w:p>
      <w:pPr>
        <w:spacing w:after="160" w:line="300"/>
        <w:jc w:val="both"/>
      </w:pPr>
      <w:r>
        <w:t xml:space="preserve">Based on Acme Solutions' proven four-phase delivery model and a </w:t>
      </w:r>
      <w:r>
        <w:rPr>
          <w:b/>
          <w:bCs/>
        </w:rPr>
        <w:t xml:space="preserve">July 1, 2026 kickoff</w:t>
      </w:r>
      <w:r>
        <w:t xml:space="preserve">, we propose the following timeline for the Cloud ERP Implementation &amp; WMS Integration:</w:t>
      </w:r>
    </w:p>
    <w:p>
      <w:pPr>
        <w:pStyle w:val="Heading2"/>
      </w:pPr>
      <w:r>
        <w:t xml:space="preserve">Project Timeline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Phase</w:t>
            </w:r>
          </w:p>
        </w:tc>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Duration</w:t>
            </w:r>
          </w:p>
        </w:tc>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Start Date</w:t>
            </w:r>
          </w:p>
        </w:tc>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End Date</w:t>
            </w:r>
          </w:p>
        </w:tc>
        <w:tc>
          <w:tcPr>
            <w:tcW w:type="dxa" w:w="1872"/>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Key Milestone</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Phase 1: Discovery &amp; Design</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6 weeks</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July 1, 2026</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August 11, 2026</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Requirements Sign-Off</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Phase 2: Build &amp; Configuration</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12 weeks</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August 12, 2026</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November 3, 2026</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ERP Configuration Complete</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Phase 3: Integration &amp; Testing</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8 weeks</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November 4, 2026</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December 29, 2026</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UAT Sign-Off</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Phase 4: Deployment (Go-Live)</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 weeks</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January 4, 2027</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January 22, 2027</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Production Go-Live</w:t>
            </w:r>
          </w:p>
        </w:tc>
      </w:tr>
      <w:tr>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Phase 5: Hypercare &amp; Support</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weeks</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January 23, 2027</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February 19, 2027</w:t>
            </w:r>
          </w:p>
        </w:tc>
        <w:tc>
          <w:tcPr>
            <w:tcW w:type="dxa" w:w="1872"/>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Transition to Managed Services</w:t>
            </w:r>
          </w:p>
        </w:tc>
      </w:tr>
    </w:tbl>
    <w:p>
      <w:pPr>
        <w:spacing w:after="120"/>
      </w:pPr>
      <w:r>
        <w:t xml:space="preserve"/>
      </w:r>
    </w:p>
    <w:p>
      <w:pPr>
        <w:spacing w:after="160" w:line="300"/>
        <w:jc w:val="both"/>
      </w:pPr>
      <w:r>
        <w:rPr>
          <w:b/>
          <w:bCs/>
        </w:rPr>
        <w:t xml:space="preserve">Total Duration: Approximately 33 weeks (8 months)</w:t>
      </w:r>
    </w:p>
    <w:p>
      <w:pPr>
        <w:pStyle w:val="Heading2"/>
      </w:pPr>
      <w:r>
        <w:t xml:space="preserve">Phase 1: Discovery &amp; Design (July 1 – August 11,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Week</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Activities</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Deliverables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Weeks 1–2</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Project kickoff, stakeholder interviews, current-state architecture review, legacy system audit</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Project Charter, Stakeholder Map</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Weeks 3–4</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Requirements workshops (functional, technical, integration), WMS API discovery, data mapping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Business Requirements Document (BRD), Data Mapping Specification</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Weeks 5–6</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Solution architecture design, integration design (ERP ↔ WMS), risk register, detailed project plan</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Solution Architecture Document (SAD), Integration Design Specification, Risk Register, Detailed Project Plan, Resource Allocation Matrix</w:t>
            </w:r>
          </w:p>
        </w:tc>
      </w:tr>
    </w:tbl>
    <w:p>
      <w:pPr>
        <w:spacing w:after="120"/>
      </w:pPr>
      <w:r>
        <w:t xml:space="preserve"/>
      </w:r>
    </w:p>
    <w:p>
      <w:pPr>
        <w:spacing w:after="160" w:line="300"/>
        <w:jc w:val="both"/>
      </w:pPr>
      <w:r>
        <w:rPr>
          <w:b/>
          <w:bCs/>
        </w:rPr>
        <w:t xml:space="preserve">Gate:</w:t>
      </w:r>
      <w:r>
        <w:t xml:space="preserve"> Formal sign-off on BRD, SAD, and Project Plan before proceeding.</w:t>
      </w:r>
    </w:p>
    <w:p>
      <w:pPr>
        <w:pStyle w:val="Heading2"/>
      </w:pPr>
      <w:r>
        <w:t xml:space="preserve">Phase 2: Build &amp; Configuration (August 12 – November 3,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Sprint</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Activities</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Deliverables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Sprints 1–2 (Weeks 7–10)</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ERP environment provisioning, core module configuration (Finance, Procurement, Inventory)</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Configured cloud ERP environment, core module setup</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Sprints 3–4 (Weeks 11–14)</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Extended module configuration (Order Management, Reporting), data migration script development</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Extended module configuration, data migration scripts, initial data load</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Sprints 5–6 (Weeks 15–18)</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WMS API connector development, custom integration logic, workflow automation</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WMS API connector, integration middleware, automated CI/CD pipelines</w:t>
            </w:r>
          </w:p>
        </w:tc>
      </w:tr>
    </w:tbl>
    <w:p>
      <w:pPr>
        <w:spacing w:after="120"/>
      </w:pPr>
      <w:r>
        <w:t xml:space="preserve"/>
      </w:r>
    </w:p>
    <w:p>
      <w:pPr>
        <w:spacing w:after="160" w:line="300"/>
        <w:jc w:val="both"/>
      </w:pPr>
      <w:r>
        <w:rPr>
          <w:b/>
          <w:bCs/>
        </w:rPr>
        <w:t xml:space="preserve">Cadence:</w:t>
      </w:r>
      <w:r>
        <w:t xml:space="preserve"> 2-week Agile sprints with weekly demos to Nexus stakeholders. Bi-weekly Steering Committee reviews.</w:t>
      </w:r>
    </w:p>
    <w:p>
      <w:pPr>
        <w:spacing w:after="160" w:line="300"/>
        <w:jc w:val="both"/>
      </w:pPr>
      <w:r>
        <w:rPr>
          <w:b/>
          <w:bCs/>
        </w:rPr>
        <w:t xml:space="preserve">Gate:</w:t>
      </w:r>
      <w:r>
        <w:t xml:space="preserve"> Formal sign-off on configured ERP environment and integration components.</w:t>
      </w:r>
    </w:p>
    <w:p>
      <w:pPr>
        <w:pStyle w:val="Heading2"/>
      </w:pPr>
      <w:r>
        <w:t xml:space="preserve">Phase 3: Integration &amp; Testing (November 4 – December 29,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Sprint</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Activities</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Deliverables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Sprints 7–8 (Weeks 19–22)</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End-to-end integration testing (ERP ↔ WMS), system testing, performance/load testing, security testing, parallel run initiation</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Integration Test Results, Performance Test Report, Security Assessment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Sprints 9–10 (Weeks 23–26)</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User Acceptance Testing (UAT), defect remediation, data migration dress rehearsal, cutover planning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UAT Results &amp; Sign-Off, Cutover Plan, Rollback Plan, Runbooks</w:t>
            </w:r>
          </w:p>
        </w:tc>
      </w:tr>
    </w:tbl>
    <w:p>
      <w:pPr>
        <w:spacing w:after="120"/>
      </w:pPr>
      <w:r>
        <w:t xml:space="preserve"/>
      </w:r>
    </w:p>
    <w:p>
      <w:pPr>
        <w:spacing w:after="160" w:line="300"/>
        <w:jc w:val="both"/>
      </w:pPr>
      <w:r>
        <w:rPr>
          <w:b/>
          <w:bCs/>
        </w:rPr>
        <w:t xml:space="preserve">Gate:</w:t>
      </w:r>
      <w:r>
        <w:t xml:space="preserve"> UAT sign-off — all Critical/High defects resolved, ≥95% test scenario pass rate, written approval from Nexus project sponsor.</w:t>
      </w:r>
    </w:p>
    <w:p>
      <w:pPr>
        <w:pStyle w:val="Heading2"/>
      </w:pPr>
      <w:r>
        <w:t xml:space="preserve">Phase 4: Deployment / Go-Live (January 4 – January 22, 2027)</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Week</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Activities</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Deliverables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Week 27</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Final data migration, production environment validation, go-live readiness checklist</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Final Data Migration Report, Go-Live Readiness Checklist</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Week 28</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Production Go-Live</w:t>
            </w:r>
            <w:r>
              <w:rPr>
                <w:sz w:val="20"/>
                <w:szCs w:val="20"/>
              </w:rPr>
              <w:t xml:space="preserve"> — cutover execution, parallel run completion, legacy system decommission planning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Go-Live Confirmation, Initial Production Monitoring Dashboard</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Week 29</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Post-go-live stabilization, immediate issue resolution, user support</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Post-Go-Live Stabilization Report</w:t>
            </w:r>
          </w:p>
        </w:tc>
      </w:tr>
    </w:tbl>
    <w:p>
      <w:pPr>
        <w:spacing w:after="120"/>
      </w:pPr>
      <w:r>
        <w:t xml:space="preserve"/>
      </w:r>
    </w:p>
    <w:p>
      <w:pPr>
        <w:pStyle w:val="Heading2"/>
      </w:pPr>
      <w:r>
        <w:t xml:space="preserve">Phase 5: Hypercare &amp; Transition to Managed Services (January 23 – February 19, 2027)</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Week</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Activities</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Deliverables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Weeks 30–31</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Elevated support SLA (P1: 15 min response / 4 hr resolution), daily check-ins, proactive monitoring</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Hypercare Status Reports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Weeks 32–33</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Knowledge transfer sessions, administrator training, end-user training, documentation handoff</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Training Materials, Knowledge Transfer Documentation, Operations Runbooks, Managed Services Transition Plan</w:t>
            </w:r>
          </w:p>
        </w:tc>
      </w:tr>
    </w:tbl>
    <w:p>
      <w:pPr>
        <w:spacing w:after="120"/>
      </w:pPr>
      <w:r>
        <w:t xml:space="preserve"/>
      </w:r>
    </w:p>
    <w:p>
      <w:pPr>
        <w:spacing w:after="160" w:line="300"/>
        <w:jc w:val="both"/>
      </w:pPr>
      <w:r>
        <w:rPr>
          <w:b/>
          <w:bCs/>
        </w:rPr>
        <w:t xml:space="preserve">Gate:</w:t>
      </w:r>
      <w:r>
        <w:t xml:space="preserve"> Formal project closure sign-off. Transition to ongoing Managed Services engagement (optional, sold separately).</w:t>
      </w:r>
    </w:p>
    <w:p>
      <w:pPr>
        <w:pStyle w:val="Heading2"/>
      </w:pPr>
      <w:r>
        <w:t xml:space="preserve">Key Milestones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Milestone</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Target Date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Project Kickoff</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July 1, 2026</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Requirements Sign-Off</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August 11, 2026</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ERP Configuration Complete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November 3, 2026</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UAT Sign-Off</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December 29, 2026</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Production Go-Live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January 19, 2027</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Hypercare Complete / Project Closure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February 19, 2027</w:t>
            </w:r>
          </w:p>
        </w:tc>
      </w:tr>
    </w:tbl>
    <w:p>
      <w:pPr>
        <w:spacing w:after="120"/>
      </w:pPr>
      <w:r>
        <w:t xml:space="preserve"/>
      </w:r>
    </w:p>
    <w:p>
      <w:pPr>
        <w:pBdr>
          <w:bottom w:val="single" w:color="BFBFBF" w:sz="6" w:space="1"/>
        </w:pBdr>
        <w:spacing w:before="120" w:after="120"/>
      </w:pPr>
      <w:r>
        <w:t xml:space="preserve"/>
      </w:r>
    </w:p>
    <w:p>
      <w:pPr>
        <w:pStyle w:val="Heading1"/>
      </w:pPr>
      <w:r>
        <w:t xml:space="preserve">What are your first-year software licensing/subscription costs? Will Nexus contract directly with the ERP publisher, or will you resell the licenses?</w:t>
      </w:r>
    </w:p>
    <w:p>
      <w:pPr>
        <w:pBdr>
          <w:left w:val="single" w:color="2E74B5" w:sz="12" w:space="8"/>
        </w:pBdr>
        <w:spacing w:after="160"/>
        <w:ind w:left="360"/>
      </w:pPr>
      <w:r>
        <w:rPr>
          <w:i/>
          <w:iCs/>
          <w:color w:val="595959"/>
          <w:sz w:val="20"/>
          <w:szCs w:val="20"/>
        </w:rPr>
        <w:t xml:space="preserve">Source: Content Library — Pricing, Services</w:t>
      </w:r>
    </w:p>
    <w:p>
      <w:pPr>
        <w:pStyle w:val="Heading2"/>
      </w:pPr>
      <w:r>
        <w:t xml:space="preserve">Licensing Model</w:t>
      </w:r>
    </w:p>
    <w:p>
      <w:pPr>
        <w:spacing w:after="160" w:line="300"/>
        <w:jc w:val="both"/>
      </w:pPr>
      <w:r>
        <w:t xml:space="preserve">Acme Solutions recommends that </w:t>
      </w:r>
      <w:r>
        <w:rPr>
          <w:b/>
          <w:bCs/>
        </w:rPr>
        <w:t xml:space="preserve">Nexus Global Logistics contract directly with the ERP software publisher</w:t>
      </w:r>
      <w:r>
        <w:t xml:space="preserve"> for all first-year software licensing and subscription costs. This approach provides Nexus with:</w:t>
      </w:r>
    </w:p>
    <w:p>
      <w:pPr>
        <w:pStyle w:val="ListParagraph"/>
        <w:numPr>
          <w:ilvl w:val="0"/>
          <w:numId w:val="2"/>
        </w:numPr>
        <w:spacing w:after="80"/>
      </w:pPr>
      <w:r>
        <w:rPr>
          <w:b/>
          <w:bCs/>
        </w:rPr>
        <w:t xml:space="preserve">Direct relationship</w:t>
      </w:r>
      <w:r>
        <w:t xml:space="preserve"> with the ERP publisher for licensing support, renewals, and compliance</w:t>
      </w:r>
    </w:p>
    <w:p>
      <w:pPr>
        <w:pStyle w:val="ListParagraph"/>
        <w:numPr>
          <w:ilvl w:val="0"/>
          <w:numId w:val="2"/>
        </w:numPr>
        <w:spacing w:after="80"/>
      </w:pPr>
      <w:r>
        <w:rPr>
          <w:b/>
          <w:bCs/>
        </w:rPr>
        <w:t xml:space="preserve">Transparency</w:t>
      </w:r>
      <w:r>
        <w:t xml:space="preserve"> into licensing terms, pricing tiers, and future cost escalation schedules</w:t>
      </w:r>
    </w:p>
    <w:p>
      <w:pPr>
        <w:pStyle w:val="ListParagraph"/>
        <w:numPr>
          <w:ilvl w:val="0"/>
          <w:numId w:val="2"/>
        </w:numPr>
        <w:spacing w:after="80"/>
      </w:pPr>
      <w:r>
        <w:rPr>
          <w:b/>
          <w:bCs/>
        </w:rPr>
        <w:t xml:space="preserve">Flexibility</w:t>
      </w:r>
      <w:r>
        <w:t xml:space="preserve"> to adjust user counts, modules, and editions directly with the publisher without intermediary markups</w:t>
      </w:r>
    </w:p>
    <w:p>
      <w:pPr>
        <w:pStyle w:val="ListParagraph"/>
        <w:numPr>
          <w:ilvl w:val="0"/>
          <w:numId w:val="2"/>
        </w:numPr>
        <w:spacing w:after="80"/>
      </w:pPr>
      <w:r>
        <w:rPr>
          <w:b/>
          <w:bCs/>
        </w:rPr>
        <w:t xml:space="preserve">Business continuity</w:t>
      </w:r>
      <w:r>
        <w:t xml:space="preserve"> — Nexus retains full license ownership independent of the implementation partner</w:t>
      </w:r>
    </w:p>
    <w:p>
      <w:pPr>
        <w:spacing w:after="160" w:line="300"/>
        <w:jc w:val="both"/>
      </w:pPr>
      <w:r>
        <w:t xml:space="preserve">Acme Solutions will serve as a </w:t>
      </w:r>
      <w:r>
        <w:rPr>
          <w:b/>
          <w:bCs/>
        </w:rPr>
        <w:t xml:space="preserve">technical advisor</w:t>
      </w:r>
      <w:r>
        <w:t xml:space="preserve"> during the licensing negotiation process, helping Nexus right-size the license configuration based on the requirements identified during the Discovery &amp; Design phase. We will provide:</w:t>
      </w:r>
    </w:p>
    <w:p>
      <w:pPr>
        <w:pStyle w:val="ListParagraph"/>
        <w:numPr>
          <w:ilvl w:val="0"/>
          <w:numId w:val="2"/>
        </w:numPr>
        <w:spacing w:after="80"/>
      </w:pPr>
      <w:r>
        <w:t xml:space="preserve">Module and user count recommendations aligned to Nexus's functional requirements</w:t>
      </w:r>
    </w:p>
    <w:p>
      <w:pPr>
        <w:pStyle w:val="ListParagraph"/>
        <w:numPr>
          <w:ilvl w:val="0"/>
          <w:numId w:val="2"/>
        </w:numPr>
        <w:spacing w:after="80"/>
      </w:pPr>
      <w:r>
        <w:t xml:space="preserve">Environment sizing guidance (production, staging, UAT, development)</w:t>
      </w:r>
    </w:p>
    <w:p>
      <w:pPr>
        <w:pStyle w:val="ListParagraph"/>
        <w:numPr>
          <w:ilvl w:val="0"/>
          <w:numId w:val="2"/>
        </w:numPr>
        <w:spacing w:after="80"/>
      </w:pPr>
      <w:r>
        <w:t xml:space="preserve">Integration and API call volume projections to ensure the selected licensing tier supports the WMS integration workload</w:t>
      </w:r>
    </w:p>
    <w:p>
      <w:pPr>
        <w:pStyle w:val="Heading2"/>
      </w:pPr>
      <w:r>
        <w:t xml:space="preserve">First-Year Licensing Cost Estimate</w:t>
      </w:r>
    </w:p>
    <w:p>
      <w:pPr>
        <w:spacing w:after="160" w:line="300"/>
        <w:jc w:val="both"/>
      </w:pPr>
      <w:r>
        <w:t xml:space="preserve">As licensing costs are determined by the ERP publisher based on Nexus's specific configuration (number of users, modules, data volumes, and selected edition), we provide the following </w:t>
      </w:r>
      <w:r>
        <w:rPr>
          <w:b/>
          <w:bCs/>
        </w:rPr>
        <w:t xml:space="preserve">indicative range</w:t>
      </w:r>
      <w:r>
        <w:t xml:space="preserve"> for planning purposes:</w:t>
      </w:r>
    </w:p>
    <w:p>
      <w:pPr>
        <w:spacing w:after="160" w:line="300"/>
        <w:jc w:val="both"/>
      </w:pPr>
      <w:r>
        <w:rPr>
          <w:i/>
          <w:iCs/>
          <w:color w:val="7A5D00"/>
          <w:highlight w:val="yellow"/>
          <w:highlightCs w:val="yellow"/>
        </w:rPr>
        <w:t xml:space="preserve">[PLACEHOLDER: First-year ERP software licensing/subscription cost estimate. Actual costs will depend on the selected ERP platform (e.g., Oracle NetSuite, SAP S/4HANA Cloud, Microsoft Dynamics 365), number of named/concurrent users, modules selected, and environment requirements. Acme Solutions will assist Nexus in obtaining a formal publisher quote during the Discovery phase.]</w:t>
      </w:r>
    </w:p>
    <w:p>
      <w:pPr>
        <w:pStyle w:val="Heading2"/>
      </w:pPr>
      <w:r>
        <w:t xml:space="preserve">Infrastructure Costs</w:t>
      </w:r>
    </w:p>
    <w:p>
      <w:pPr>
        <w:spacing w:after="160" w:line="300"/>
        <w:jc w:val="both"/>
      </w:pPr>
      <w:r>
        <w:t xml:space="preserve">Cloud infrastructure costs (compute, storage, networking) required to host or support the ERP and integration environment are billed separately at </w:t>
      </w:r>
      <w:r>
        <w:rPr>
          <w:b/>
          <w:bCs/>
        </w:rPr>
        <w:t xml:space="preserve">cost plus 8% markup</w:t>
      </w:r>
      <w:r>
        <w:t xml:space="preserve">, consistent with our standard engagement terms. Acme will provide transparent cost projections during the Design &amp; Planning phase.</w:t>
      </w:r>
    </w:p>
    <w:p>
      <w:pPr>
        <w:pBdr>
          <w:bottom w:val="single" w:color="BFBFBF" w:sz="6" w:space="1"/>
        </w:pBdr>
        <w:spacing w:before="120" w:after="120"/>
      </w:pPr>
      <w:r>
        <w:t xml:space="preserve"/>
      </w:r>
    </w:p>
    <w:p>
      <w:pPr>
        <w:pStyle w:val="Heading1"/>
      </w:pPr>
      <w:r>
        <w:t xml:space="preserve">What are your professional services costs for implementation, integration, and migration? Please indicate whether pricing is fixed-fee or Time &amp; Materials (T&amp;M) with a Not-to-Exceed (NTE) cap.</w:t>
      </w:r>
    </w:p>
    <w:p>
      <w:pPr>
        <w:pBdr>
          <w:left w:val="single" w:color="2E74B5" w:sz="12" w:space="8"/>
        </w:pBdr>
        <w:spacing w:after="160"/>
        <w:ind w:left="360"/>
      </w:pPr>
      <w:r>
        <w:rPr>
          <w:i/>
          <w:iCs/>
          <w:color w:val="595959"/>
          <w:sz w:val="20"/>
          <w:szCs w:val="20"/>
        </w:rPr>
        <w:t xml:space="preserve">Source: Content Library — Pricing</w:t>
      </w:r>
    </w:p>
    <w:p>
      <w:pPr>
        <w:spacing w:after="160" w:line="300"/>
        <w:jc w:val="both"/>
      </w:pPr>
      <w:r>
        <w:rPr>
          <w:i/>
          <w:iCs/>
          <w:color w:val="7A5D00"/>
          <w:highlight w:val="yellow"/>
          <w:highlightCs w:val="yellow"/>
        </w:rPr>
        <w:t xml:space="preserve">[PLACEHOLDER: pricing details required]</w:t>
      </w:r>
    </w:p>
    <w:p>
      <w:pPr>
        <w:pStyle w:val="Heading2"/>
      </w:pPr>
      <w:r>
        <w:t xml:space="preserve">Pricing Model: Time &amp; Materials (T&amp;M) with Not-to-Exceed (NTE) Cap</w:t>
      </w:r>
    </w:p>
    <w:p>
      <w:pPr>
        <w:spacing w:after="160" w:line="300"/>
        <w:jc w:val="both"/>
      </w:pPr>
      <w:r>
        <w:t xml:space="preserve">Given the complexity and integration scope of this Cloud ERP and WMS engagement, Acme Solutions recommends a </w:t>
      </w:r>
      <w:r>
        <w:rPr>
          <w:b/>
          <w:bCs/>
        </w:rPr>
        <w:t xml:space="preserve">Time &amp; Materials (T&amp;M) engagement model with a Not-to-Exceed (NTE) cap</w:t>
      </w:r>
      <w:r>
        <w:t xml:space="preserve"> to provide Nexus Global Logistics with both cost predictability and the flexibility to adapt scope as requirements are refined during Discovery.</w:t>
      </w:r>
    </w:p>
    <w:p>
      <w:pPr>
        <w:pStyle w:val="Heading2"/>
      </w:pPr>
      <w:r>
        <w:t xml:space="preserve">Standard Hourly Rate 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Role</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Hourly Rate (USD)</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Principal Consultant / Architect</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$225/hr</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Senior Engineer</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$175/hr</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Mid-Level Engineer</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$135/hr</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Junior Engineer / Analyst</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$95/hr</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Project Manager</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$145/hr</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QA / Test Engineer</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$115/hr</w:t>
            </w:r>
          </w:p>
        </w:tc>
      </w:tr>
    </w:tbl>
    <w:p>
      <w:pPr>
        <w:spacing w:after="120"/>
      </w:pPr>
      <w:r>
        <w:t xml:space="preserve"/>
      </w:r>
    </w:p>
    <w:p>
      <w:pPr>
        <w:spacing w:after="160" w:line="300"/>
        <w:jc w:val="both"/>
      </w:pPr>
      <w:r>
        <w:t xml:space="preserve">Volume discounts are available for engagements exceeding 500 hours/month. Blended team rates can be negotiated for fixed-scope projects. All rates are in USD and valid for 90 days from the date of this proposal.</w:t>
      </w:r>
    </w:p>
    <w:p>
      <w:pPr>
        <w:pStyle w:val="Heading2"/>
      </w:pPr>
      <w:r>
        <w:t xml:space="preserve">Estimated Team Composition &amp; Professional Services Investment</w:t>
      </w:r>
    </w:p>
    <w:p>
      <w:pPr>
        <w:spacing w:after="160" w:line="300"/>
        <w:jc w:val="both"/>
      </w:pPr>
      <w:r>
        <w:rPr>
          <w:i/>
          <w:iCs/>
          <w:color w:val="7A5D00"/>
          <w:highlight w:val="yellow"/>
          <w:highlightCs w:val="yellow"/>
        </w:rPr>
        <w:t xml:space="preserve">[PLACEHOLDER: Detailed professional services cost estimate based on estimated hours by role across all project phases (Discovery &amp; Design, Build &amp; Configuration, Integration &amp; Testing, Deployment, Hypercare). To be finalized during scoping. Acme Solutions will provide a detailed NTE cap based on the agreed scope of work.]</w:t>
      </w:r>
    </w:p>
    <w:p>
      <w:pPr>
        <w:pStyle w:val="Heading2"/>
      </w:pPr>
      <w:r>
        <w:t xml:space="preserve">Fixed-Fee Package Reference</w:t>
      </w:r>
    </w:p>
    <w:p>
      <w:pPr>
        <w:spacing w:after="160" w:line="300"/>
        <w:jc w:val="both"/>
      </w:pPr>
      <w:r>
        <w:t xml:space="preserve">For reference, Acme Solutions also offers fixed-fee implementation packages that may serve as a baseline: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Package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Scope</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Price</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Starter</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Up to 3 integrations, single environment</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$24,900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Growth</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Up to 8 integrations, 2 environments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$59,500</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Enterprise</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Unlimited integrations, full HA setup</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Custom</w:t>
            </w:r>
          </w:p>
        </w:tc>
      </w:tr>
    </w:tbl>
    <w:p>
      <w:pPr>
        <w:spacing w:after="120"/>
      </w:pPr>
      <w:r>
        <w:t xml:space="preserve"/>
      </w:r>
    </w:p>
    <w:p>
      <w:pPr>
        <w:spacing w:after="160" w:line="300"/>
        <w:jc w:val="both"/>
      </w:pPr>
      <w:r>
        <w:t xml:space="preserve">Packages include discovery, implementation, testing, and 30-day hypercare support. Given the scope of the Nexus engagement (Cloud ERP implementation + WMS API integration + data migration), we anticipate this engagement aligning with the </w:t>
      </w:r>
      <w:r>
        <w:rPr>
          <w:b/>
          <w:bCs/>
        </w:rPr>
        <w:t xml:space="preserve">Enterprise tier</w:t>
      </w:r>
      <w:r>
        <w:t xml:space="preserve"> at a custom-quoted price.</w:t>
      </w:r>
    </w:p>
    <w:p>
      <w:pPr>
        <w:pStyle w:val="Heading2"/>
      </w:pPr>
      <w:r>
        <w:t xml:space="preserve">What's Included</w:t>
      </w:r>
    </w:p>
    <w:p>
      <w:pPr>
        <w:spacing w:after="160" w:line="300"/>
        <w:jc w:val="both"/>
      </w:pPr>
      <w:r>
        <w:t xml:space="preserve">Professional services fees cover:</w:t>
      </w:r>
    </w:p>
    <w:p>
      <w:pPr>
        <w:pStyle w:val="ListParagraph"/>
        <w:numPr>
          <w:ilvl w:val="0"/>
          <w:numId w:val="2"/>
        </w:numPr>
        <w:spacing w:after="80"/>
      </w:pPr>
      <w:r>
        <w:t xml:space="preserve">All four engagement phases (Discovery &amp; Assessment, Design &amp; Planning, Implementation, Transition &amp; Hypercare)</w:t>
      </w:r>
    </w:p>
    <w:p>
      <w:pPr>
        <w:pStyle w:val="ListParagraph"/>
        <w:numPr>
          <w:ilvl w:val="0"/>
          <w:numId w:val="2"/>
        </w:numPr>
        <w:spacing w:after="80"/>
      </w:pPr>
      <w:r>
        <w:t xml:space="preserve">WMS API integration development and testing</w:t>
      </w:r>
    </w:p>
    <w:p>
      <w:pPr>
        <w:pStyle w:val="ListParagraph"/>
        <w:numPr>
          <w:ilvl w:val="0"/>
          <w:numId w:val="2"/>
        </w:numPr>
        <w:spacing w:after="80"/>
      </w:pPr>
      <w:r>
        <w:t xml:space="preserve">Data migration from legacy systems to the new Cloud ERP</w:t>
      </w:r>
    </w:p>
    <w:p>
      <w:pPr>
        <w:pStyle w:val="ListParagraph"/>
        <w:numPr>
          <w:ilvl w:val="0"/>
          <w:numId w:val="2"/>
        </w:numPr>
        <w:spacing w:after="80"/>
      </w:pPr>
      <w:r>
        <w:t xml:space="preserve">30-day hypercare support post-go-live</w:t>
      </w:r>
    </w:p>
    <w:p>
      <w:pPr>
        <w:pStyle w:val="ListParagraph"/>
        <w:numPr>
          <w:ilvl w:val="0"/>
          <w:numId w:val="2"/>
        </w:numPr>
        <w:spacing w:after="80"/>
      </w:pPr>
      <w:r>
        <w:t xml:space="preserve">Project management, QA, and documentation</w:t>
      </w:r>
    </w:p>
    <w:p>
      <w:pPr>
        <w:spacing w:after="160" w:line="300"/>
        <w:jc w:val="both"/>
      </w:pPr>
      <w:r>
        <w:t xml:space="preserve">Infrastructure and third-party software licensing costs are </w:t>
      </w:r>
      <w:r>
        <w:rPr>
          <w:b/>
          <w:bCs/>
        </w:rPr>
        <w:t xml:space="preserve">excluded</w:t>
      </w:r>
      <w:r>
        <w:t xml:space="preserve"> and billed separately.</w:t>
      </w:r>
    </w:p>
    <w:p>
      <w:pPr>
        <w:pBdr>
          <w:bottom w:val="single" w:color="BFBFBF" w:sz="6" w:space="1"/>
        </w:pBdr>
        <w:spacing w:before="120" w:after="120"/>
      </w:pPr>
      <w:r>
        <w:t xml:space="preserve"/>
      </w:r>
    </w:p>
    <w:p>
      <w:pPr>
        <w:pStyle w:val="Heading1"/>
      </w:pPr>
      <w:r>
        <w:t xml:space="preserve">What are your ongoing maintenance and support costs or SLAs for post-hypercare managed services?</w:t>
      </w:r>
    </w:p>
    <w:p>
      <w:pPr>
        <w:pBdr>
          <w:left w:val="single" w:color="2E74B5" w:sz="12" w:space="8"/>
        </w:pBdr>
        <w:spacing w:after="160"/>
        <w:ind w:left="360"/>
      </w:pPr>
      <w:r>
        <w:rPr>
          <w:i/>
          <w:iCs/>
          <w:color w:val="595959"/>
          <w:sz w:val="20"/>
          <w:szCs w:val="20"/>
        </w:rPr>
        <w:t xml:space="preserve">Source: Content Library — Services, Past Performance</w:t>
      </w:r>
    </w:p>
    <w:p>
      <w:pPr>
        <w:pStyle w:val="Heading2"/>
      </w:pPr>
      <w:r>
        <w:t xml:space="preserve">Managed Services Offering</w:t>
      </w:r>
    </w:p>
    <w:p>
      <w:pPr>
        <w:spacing w:after="160" w:line="300"/>
        <w:jc w:val="both"/>
      </w:pPr>
      <w:r>
        <w:t xml:space="preserve">Following the 4-week hypercare period, Acme Solutions offers an ongoing </w:t>
      </w:r>
      <w:r>
        <w:rPr>
          <w:b/>
          <w:bCs/>
        </w:rPr>
        <w:t xml:space="preserve">Managed Services</w:t>
      </w:r>
      <w:r>
        <w:t xml:space="preserve"> engagement to provide Nexus Global Logistics with continuous operational support for the deployed Cloud ERP and WMS integration environment. Managed Services contracts run on a </w:t>
      </w:r>
      <w:r>
        <w:rPr>
          <w:b/>
          <w:bCs/>
        </w:rPr>
        <w:t xml:space="preserve">12-month initial term with month-to-month renewal</w:t>
      </w:r>
      <w:r>
        <w:t xml:space="preserve"> after the initial period.</w:t>
      </w:r>
    </w:p>
    <w:p>
      <w:pPr>
        <w:pStyle w:val="Heading2"/>
      </w:pPr>
      <w:r>
        <w:t xml:space="preserve">Service Inclusions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Service Area</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Description</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Monitoring &amp; Alerting</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24/7 infrastructure and application monitoring with PagerDuty escalation chains. SLO dashboards published to Nexus stakeholders weekly.</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Patch &amp; Update Management</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Scheduled maintenance windows (every other Sunday, 02:00–04:00 local time) for OS patching, dependency updates, and minor version upgrades.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Performance Optimization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Quarterly performance reviews including query analysis, caching layer tuning, and autoscaling policy adjustments.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Incident Response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Dedicated on-call rotation with defined escalation paths. All P1 incidents receive a post-incident review within 5 business days.</w:t>
            </w:r>
          </w:p>
        </w:tc>
      </w:tr>
    </w:tbl>
    <w:p>
      <w:pPr>
        <w:spacing w:after="120"/>
      </w:pPr>
      <w:r>
        <w:t xml:space="preserve"/>
      </w:r>
    </w:p>
    <w:p>
      <w:pPr>
        <w:pStyle w:val="Heading2"/>
      </w:pPr>
      <w:r>
        <w:t xml:space="preserve">Response &amp; Resolution SLAs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Priority</w:t>
            </w:r>
          </w:p>
        </w:tc>
        <w:tc>
          <w:tcPr>
            <w:tcW w:type="dxa" w:w="234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Definition</w:t>
            </w:r>
          </w:p>
        </w:tc>
        <w:tc>
          <w:tcPr>
            <w:tcW w:type="dxa" w:w="234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Response Time</w:t>
            </w:r>
          </w:p>
        </w:tc>
        <w:tc>
          <w:tcPr>
            <w:tcW w:type="dxa" w:w="234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Resolution Target</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P1 — Critical</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Production outage, data loss risk</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15 minutes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hours</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P2 — High</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Major feature degraded, workaround unavailable</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hour</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8 business hours</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P3 — Medium</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Feature degraded, workaround available</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 business hours</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 business days</w:t>
            </w:r>
          </w:p>
        </w:tc>
      </w:tr>
      <w:tr>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P4 — Low</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Minor issue, cosmetic, documentation</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 business day</w:t>
            </w:r>
          </w:p>
        </w:tc>
        <w:tc>
          <w:tcPr>
            <w:tcW w:type="dxa" w:w="234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10 business days</w:t>
            </w:r>
          </w:p>
        </w:tc>
      </w:tr>
    </w:tbl>
    <w:p>
      <w:pPr>
        <w:spacing w:after="120"/>
      </w:pPr>
      <w:r>
        <w:t xml:space="preserve"/>
      </w:r>
    </w:p>
    <w:p>
      <w:pPr>
        <w:spacing w:after="160" w:line="300"/>
        <w:jc w:val="both"/>
      </w:pPr>
      <w:r>
        <w:t xml:space="preserve">Response times apply </w:t>
      </w:r>
      <w:r>
        <w:rPr>
          <w:b/>
          <w:bCs/>
        </w:rPr>
        <w:t xml:space="preserve">24/7 for P1 and P2</w:t>
      </w:r>
      <w:r>
        <w:t xml:space="preserve">. P3 and P4 are measured during business hours (08:00–18:00 customer local time, Monday–Friday, excluding public holidays).</w:t>
      </w:r>
    </w:p>
    <w:p>
      <w:pPr>
        <w:pStyle w:val="Heading2"/>
      </w:pPr>
      <w:r>
        <w:t xml:space="preserve">Uptime SLA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Component</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Monthly Uptime Target</w:t>
            </w:r>
          </w:p>
        </w:tc>
        <w:tc>
          <w:tcPr>
            <w:tcW w:type="dxa" w:w="312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Max Downtime/Month</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Core Platform (ERP)</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99.9%</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≤43.8 minutes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API Gateway (WMS Integration)</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99.95%</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≤21.9 minutes</w:t>
            </w:r>
          </w:p>
        </w:tc>
      </w:tr>
      <w:tr>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Reporting &amp; Analytics</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99.5%</w:t>
            </w:r>
          </w:p>
        </w:tc>
        <w:tc>
          <w:tcPr>
            <w:tcW w:type="dxa" w:w="3120"/>
            <w:tcBorders>
              <w:top w:val="single" w:color="BFBFBF" w:sz="4"/>
              <w:left w:val="single" w:color="BFBFBF" w:sz="4"/>
              <w:bottom w:val="single" w:color="BFBFBF" w:sz="4"/>
              <w:right w:val="single" w:color="BFBFBF" w:sz="4"/>
            </w:tcBorders>
            <w:vAlign w:val="center"/>
          </w:tcPr>
          <w:p>
            <w:pPr>
              <w:spacing w:before="40" w:after="40"/>
              <w:jc w:val="left"/>
            </w:pPr>
            <w:r>
              <w:rPr>
                <w:sz w:val="20"/>
                <w:szCs w:val="20"/>
              </w:rPr>
              <w:t xml:space="preserve">≤3.65 hours</w:t>
            </w:r>
          </w:p>
        </w:tc>
      </w:tr>
    </w:tbl>
    <w:p>
      <w:pPr>
        <w:spacing w:after="120"/>
      </w:pPr>
      <w:r>
        <w:t xml:space="preserve"/>
      </w:r>
    </w:p>
    <w:p>
      <w:pPr>
        <w:spacing w:after="160" w:line="300"/>
        <w:jc w:val="both"/>
      </w:pPr>
      <w:r>
        <w:t xml:space="preserve">Uptime is measured by third-party synthetic monitoring. Scheduled maintenance windows (communicated ≥5 business days in advance) are excluded from uptime calculations. Service credits are issued for SLA breaches per the schedule in the Master Service Agreement.</w:t>
      </w:r>
    </w:p>
    <w:p>
      <w:pPr>
        <w:pStyle w:val="Heading2"/>
      </w:pPr>
      <w:r>
        <w:t xml:space="preserve">Managed Services Pricing</w:t>
      </w:r>
    </w:p>
    <w:p>
      <w:pPr>
        <w:spacing w:after="160" w:line="300"/>
        <w:jc w:val="both"/>
      </w:pPr>
      <w:r>
        <w:rPr>
          <w:i/>
          <w:iCs/>
          <w:color w:val="7A5D00"/>
          <w:highlight w:val="yellow"/>
          <w:highlightCs w:val="yellow"/>
        </w:rPr>
        <w:t xml:space="preserve">[PLACEHOLDER: Monthly/annual managed services pricing for post-hypercare support. Pricing is based on environment complexity, number of supported integrations, and required coverage hours. Acme Solutions will provide a tailored Managed Services proposal during the Hypercare phase based on the finalized production environment.]</w:t>
      </w:r>
    </w:p>
    <w:p>
      <w:pPr>
        <w:pBdr>
          <w:bottom w:val="single" w:color="BFBFBF" w:sz="6" w:space="1"/>
        </w:pBdr>
        <w:spacing w:before="120" w:after="120"/>
      </w:pPr>
      <w:r>
        <w:t xml:space="preserve"/>
      </w:r>
    </w:p>
    <w:p>
      <w:pPr>
        <w:pStyle w:val="Heading1"/>
      </w:pPr>
      <w:r>
        <w:t xml:space="preserve">What are your estimated travel and expense (T&amp;E) costs for on-site work, including a cap amount?</w:t>
      </w:r>
    </w:p>
    <w:p>
      <w:pPr>
        <w:pBdr>
          <w:left w:val="single" w:color="2E74B5" w:sz="12" w:space="8"/>
        </w:pBdr>
        <w:spacing w:after="160"/>
        <w:ind w:left="360"/>
      </w:pPr>
      <w:r>
        <w:rPr>
          <w:i/>
          <w:iCs/>
          <w:color w:val="595959"/>
          <w:sz w:val="20"/>
          <w:szCs w:val="20"/>
        </w:rPr>
        <w:t xml:space="preserve">Source: Content Library — Pricing</w:t>
      </w:r>
    </w:p>
    <w:p>
      <w:pPr>
        <w:pStyle w:val="Heading2"/>
      </w:pPr>
      <w:r>
        <w:t xml:space="preserve">Travel &amp; Expense Approach</w:t>
      </w:r>
    </w:p>
    <w:p>
      <w:pPr>
        <w:spacing w:after="160" w:line="300"/>
        <w:jc w:val="both"/>
      </w:pPr>
      <w:r>
        <w:t xml:space="preserve">Acme Solutions leverages a </w:t>
      </w:r>
      <w:r>
        <w:rPr>
          <w:b/>
          <w:bCs/>
        </w:rPr>
        <w:t xml:space="preserve">remote-first delivery model</w:t>
      </w:r>
      <w:r>
        <w:t xml:space="preserve"> for the majority of project work, including sprint execution, integration development, testing, and ongoing support. However, we recognize that certain activities benefit significantly from on-site presence at Nexus Global Logistics facilities, including:</w:t>
      </w:r>
    </w:p>
    <w:p>
      <w:pPr>
        <w:pStyle w:val="ListParagraph"/>
        <w:numPr>
          <w:ilvl w:val="0"/>
          <w:numId w:val="2"/>
        </w:numPr>
        <w:spacing w:after="80"/>
      </w:pPr>
      <w:r>
        <w:rPr>
          <w:b/>
          <w:bCs/>
        </w:rPr>
        <w:t xml:space="preserve">Project Kickoff &amp; Discovery Workshops</w:t>
      </w:r>
      <w:r>
        <w:t xml:space="preserve"> (Phase 1) — 1 week on-site</w:t>
      </w:r>
    </w:p>
    <w:p>
      <w:pPr>
        <w:pStyle w:val="ListParagraph"/>
        <w:numPr>
          <w:ilvl w:val="0"/>
          <w:numId w:val="2"/>
        </w:numPr>
        <w:spacing w:after="80"/>
      </w:pPr>
      <w:r>
        <w:rPr>
          <w:b/>
          <w:bCs/>
        </w:rPr>
        <w:t xml:space="preserve">Design Review &amp; Architecture Sign-Off</w:t>
      </w:r>
      <w:r>
        <w:t xml:space="preserve"> (Phase 2) — 2–3 days on-site</w:t>
      </w:r>
    </w:p>
    <w:p>
      <w:pPr>
        <w:pStyle w:val="ListParagraph"/>
        <w:numPr>
          <w:ilvl w:val="0"/>
          <w:numId w:val="2"/>
        </w:numPr>
        <w:spacing w:after="80"/>
      </w:pPr>
      <w:r>
        <w:rPr>
          <w:b/>
          <w:bCs/>
        </w:rPr>
        <w:t xml:space="preserve">UAT Support &amp; Go-Live Cutover</w:t>
      </w:r>
      <w:r>
        <w:t xml:space="preserve"> (Phases 3–4) — 1–2 weeks on-site</w:t>
      </w:r>
    </w:p>
    <w:p>
      <w:pPr>
        <w:pStyle w:val="ListParagraph"/>
        <w:numPr>
          <w:ilvl w:val="0"/>
          <w:numId w:val="2"/>
        </w:numPr>
        <w:spacing w:after="80"/>
      </w:pPr>
      <w:r>
        <w:rPr>
          <w:b/>
          <w:bCs/>
        </w:rPr>
        <w:t xml:space="preserve">Knowledge Transfer &amp; Training</w:t>
      </w:r>
      <w:r>
        <w:t xml:space="preserve"> (Phase 5) — 1 week on-site</w:t>
      </w:r>
    </w:p>
    <w:p>
      <w:pPr>
        <w:pStyle w:val="ListParagraph"/>
        <w:numPr>
          <w:ilvl w:val="0"/>
          <w:numId w:val="2"/>
        </w:numPr>
        <w:spacing w:after="80"/>
      </w:pPr>
      <w:r>
        <w:rPr>
          <w:b/>
          <w:bCs/>
        </w:rPr>
        <w:t xml:space="preserve">Steering Committee Meetings</w:t>
      </w:r>
      <w:r>
        <w:t xml:space="preserve"> — Quarterly on-site (or as requested)</w:t>
      </w:r>
    </w:p>
    <w:p>
      <w:pPr>
        <w:pStyle w:val="Heading2"/>
      </w:pPr>
      <w:r>
        <w:t xml:space="preserve">Estimated T&amp;E Budget</w:t>
      </w:r>
    </w:p>
    <w:p>
      <w:pPr>
        <w:spacing w:after="160" w:line="300"/>
        <w:jc w:val="both"/>
      </w:pPr>
      <w:r>
        <w:t xml:space="preserve">We anticipate approximately </w:t>
      </w:r>
      <w:r>
        <w:rPr>
          <w:b/>
          <w:bCs/>
        </w:rPr>
        <w:t xml:space="preserve">4–6 on-site trips</w:t>
      </w:r>
      <w:r>
        <w:t xml:space="preserve"> over the course of the engagement, with a team of 2–4 consultants per trip. Based on this estimate:</w:t>
      </w:r>
    </w:p>
    <w:p>
      <w:pPr>
        <w:spacing w:after="160" w:line="300"/>
        <w:jc w:val="both"/>
      </w:pPr>
      <w:r>
        <w:rPr>
          <w:i/>
          <w:iCs/>
          <w:color w:val="7A5D00"/>
          <w:highlight w:val="yellow"/>
          <w:highlightCs w:val="yellow"/>
        </w:rPr>
        <w:t xml:space="preserve">[PLACEHOLDER: Specific estimated T&amp;E cost and NTE cap amount. Acme Solutions typically estimates T&amp;E at 8–12% of professional services fees for engagements of this nature, with a fixed NTE cap agreed upon in the Statement of Work. Actual T&amp;E estimates will be refined during contract negotiation based on Nexus facility locations and trip frequency requirements.]</w:t>
      </w:r>
    </w:p>
    <w:p>
      <w:pPr>
        <w:pStyle w:val="Heading2"/>
      </w:pPr>
      <w:r>
        <w:t xml:space="preserve">T&amp;E Policies</w:t>
      </w:r>
    </w:p>
    <w:p>
      <w:pPr>
        <w:pStyle w:val="ListParagraph"/>
        <w:numPr>
          <w:ilvl w:val="0"/>
          <w:numId w:val="2"/>
        </w:numPr>
        <w:spacing w:after="80"/>
      </w:pPr>
      <w:r>
        <w:t xml:space="preserve">All travel is pre-approved by the Nexus project sponsor</w:t>
      </w:r>
    </w:p>
    <w:p>
      <w:pPr>
        <w:pStyle w:val="ListParagraph"/>
        <w:numPr>
          <w:ilvl w:val="0"/>
          <w:numId w:val="2"/>
        </w:numPr>
        <w:spacing w:after="80"/>
      </w:pPr>
      <w:r>
        <w:t xml:space="preserve">Air travel booked at coach/economy class</w:t>
      </w:r>
    </w:p>
    <w:p>
      <w:pPr>
        <w:pStyle w:val="ListParagraph"/>
        <w:numPr>
          <w:ilvl w:val="0"/>
          <w:numId w:val="2"/>
        </w:numPr>
        <w:spacing w:after="80"/>
      </w:pPr>
      <w:r>
        <w:t xml:space="preserve">Hotel accommodations at standard business-class hotels</w:t>
      </w:r>
    </w:p>
    <w:p>
      <w:pPr>
        <w:pStyle w:val="ListParagraph"/>
        <w:numPr>
          <w:ilvl w:val="0"/>
          <w:numId w:val="2"/>
        </w:numPr>
        <w:spacing w:after="80"/>
      </w:pPr>
      <w:r>
        <w:t xml:space="preserve">Meals and incidentals billed at actuals, subject to Nexus's corporate T&amp;E policy or GSA per diem rates (whichever Nexus prefers)</w:t>
      </w:r>
    </w:p>
    <w:p>
      <w:pPr>
        <w:pStyle w:val="ListParagraph"/>
        <w:numPr>
          <w:ilvl w:val="0"/>
          <w:numId w:val="2"/>
        </w:numPr>
        <w:spacing w:after="80"/>
      </w:pPr>
      <w:r>
        <w:t xml:space="preserve">Mileage reimbursed at the current IRS standard rate</w:t>
      </w:r>
    </w:p>
    <w:p>
      <w:pPr>
        <w:pStyle w:val="ListParagraph"/>
        <w:numPr>
          <w:ilvl w:val="0"/>
          <w:numId w:val="2"/>
        </w:numPr>
        <w:spacing w:after="80"/>
      </w:pPr>
      <w:r>
        <w:t xml:space="preserve">Receipts provided for all expenses</w:t>
      </w:r>
    </w:p>
    <w:p>
      <w:pPr>
        <w:pStyle w:val="Heading2"/>
      </w:pPr>
      <w:r>
        <w:t xml:space="preserve">T&amp;E Cap</w:t>
      </w:r>
    </w:p>
    <w:p>
      <w:pPr>
        <w:spacing w:after="160" w:line="300"/>
        <w:jc w:val="both"/>
      </w:pPr>
      <w:r>
        <w:t xml:space="preserve">Acme Solutions will agree to a </w:t>
      </w:r>
      <w:r>
        <w:rPr>
          <w:b/>
          <w:bCs/>
        </w:rPr>
        <w:t xml:space="preserve">fixed T&amp;E Not-to-Exceed cap</w:t>
      </w:r>
      <w:r>
        <w:t xml:space="preserve"> documented in the Statement of Work, ensuring cost predictability for Nexus. Any travel beyond the NTE cap requires written pre-approval from Nexus's project sponsor.</w:t>
      </w:r>
    </w:p>
    <w:p>
      <w:pPr>
        <w:pBdr>
          <w:bottom w:val="single" w:color="BFBFBF" w:sz="6" w:space="1"/>
        </w:pBdr>
        <w:spacing w:before="120" w:after="120"/>
      </w:pPr>
      <w:r>
        <w:t xml:space="preserve"/>
      </w:r>
    </w:p>
    <w:p>
      <w:pPr>
        <w:pStyle w:val="Heading1"/>
      </w:pPr>
      <w:r>
        <w:t xml:space="preserve">Provide at least three (3) client references from organizations of similar size and industry (logistics/supply chain) for whom you have completed a similar Cloud ERP integration in the past 36 months. Include Company Name, Project Scope, Contact Person, and Contact Information for each reference.</w:t>
      </w:r>
    </w:p>
    <w:p>
      <w:pPr>
        <w:pBdr>
          <w:left w:val="single" w:color="2E74B5" w:sz="12" w:space="8"/>
        </w:pBdr>
        <w:spacing w:after="160"/>
        <w:ind w:left="360"/>
      </w:pPr>
      <w:r>
        <w:rPr>
          <w:i/>
          <w:iCs/>
          <w:color w:val="595959"/>
          <w:sz w:val="20"/>
          <w:szCs w:val="20"/>
        </w:rPr>
        <w:t xml:space="preserve">Source: No knowledge base match — consider uploading relevant content</w:t>
      </w:r>
    </w:p>
    <w:p>
      <w:pPr>
        <w:spacing w:after="160" w:line="300"/>
        <w:jc w:val="both"/>
      </w:pPr>
      <w:r>
        <w:t xml:space="preserve">Acme Solutions has delivered 400+ successful implementations across 18 countries and is pleased to provide the following client references for Cloud ERP integration engagements. We are committed to connecting Nexus Global Logistics with references that closely align with your industry and project scope.</w:t>
      </w:r>
    </w:p>
    <w:p>
      <w:pPr>
        <w:pStyle w:val="Heading2"/>
      </w:pPr>
      <w:r>
        <w:t xml:space="preserve">Reference 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Field</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Details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Company Name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Logistics/supply chain client name — similar size to Nexus Global Logistics]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Project Scope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Cloud ERP implementation and WMS/TMS integration, including data migration from legacy systems, completed within the past 36 months]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Person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Client reference contact name and title]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Information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Client reference email and phone number]</w:t>
            </w:r>
          </w:p>
        </w:tc>
      </w:tr>
    </w:tbl>
    <w:p>
      <w:pPr>
        <w:spacing w:after="120"/>
      </w:pPr>
      <w:r>
        <w:t xml:space="preserve"/>
      </w:r>
    </w:p>
    <w:p>
      <w:pPr>
        <w:pStyle w:val="Heading2"/>
      </w:pPr>
      <w:r>
        <w:t xml:space="preserve">Reference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Field</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Details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Company Name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Logistics/supply chain or distribution client name]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Project Scope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Cloud ERP integration with warehouse management and supply chain modules, including API-based system integrations, completed within the past 36 months]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Person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Client reference contact name and title]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Information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Client reference email and phone number]</w:t>
            </w:r>
          </w:p>
        </w:tc>
      </w:tr>
    </w:tbl>
    <w:p>
      <w:pPr>
        <w:spacing w:after="120"/>
      </w:pPr>
      <w:r>
        <w:t xml:space="preserve"/>
      </w:r>
    </w:p>
    <w:p>
      <w:pPr>
        <w:pStyle w:val="Heading2"/>
      </w:pPr>
      <w:r>
        <w:t xml:space="preserve">Reference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Field</w:t>
            </w:r>
          </w:p>
        </w:tc>
        <w:tc>
          <w:tcPr>
            <w:tcW w:type="dxa" w:w="4680"/>
            <w:tcBorders>
              <w:top w:val="single" w:color="BFBFBF" w:sz="4"/>
              <w:left w:val="single" w:color="BFBFBF" w:sz="4"/>
              <w:bottom w:val="single" w:color="BFBFBF" w:sz="4"/>
              <w:right w:val="single" w:color="BFBFBF" w:sz="4"/>
            </w:tcBorders>
            <w:shd w:fill="1F3864" w:color="auto" w:val="clear"/>
            <w:vAlign w:val="center"/>
          </w:tcPr>
          <w:p>
            <w:pPr>
              <w:spacing w:before="40" w:after="40"/>
              <w:jc w:val="left"/>
            </w:pPr>
            <w:r>
              <w:rPr>
                <w:b/>
                <w:bCs/>
                <w:color w:val="FFFFFF"/>
                <w:sz w:val="20"/>
                <w:szCs w:val="20"/>
              </w:rPr>
              <w:t xml:space="preserve">Details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Company Name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Manufacturing/logistics client name with multi-site operations]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Project Scope</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Enterprise Cloud ERP deployment with integrated WMS, EDI trading partner connectivity, and data migration, completed within the past 36 months]</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Person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Client reference contact name and title]</w:t>
            </w:r>
          </w:p>
        </w:tc>
      </w:tr>
      <w:tr>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b/>
                <w:bCs/>
                <w:sz w:val="20"/>
                <w:szCs w:val="20"/>
              </w:rPr>
              <w:t xml:space="preserve">Contact Information</w:t>
            </w:r>
          </w:p>
        </w:tc>
        <w:tc>
          <w:tcPr>
            <w:tcW w:type="dxa" w:w="4680"/>
            <w:tcBorders>
              <w:top w:val="single" w:color="BFBFBF" w:sz="4"/>
              <w:left w:val="single" w:color="BFBFBF" w:sz="4"/>
              <w:bottom w:val="single" w:color="BFBFBF" w:sz="4"/>
              <w:right w:val="single" w:color="BFBFBF" w:sz="4"/>
            </w:tcBorders>
            <w:vAlign w:val="center"/>
          </w:tcPr>
          <w:p>
            <w:pPr>
              <w:spacing w:before="40" w:after="40"/>
              <w:jc w:val="left"/>
            </w:pPr>
            <w:r>
              <w:rPr>
                <w:i/>
                <w:iCs/>
                <w:color w:val="7A5D00"/>
                <w:sz w:val="20"/>
                <w:szCs w:val="20"/>
                <w:highlight w:val="yellow"/>
                <w:highlightCs w:val="yellow"/>
              </w:rPr>
              <w:t xml:space="preserve">[PLACEHOLDER: Client reference email and phone number]</w:t>
            </w:r>
          </w:p>
        </w:tc>
      </w:tr>
    </w:tbl>
    <w:p>
      <w:pPr>
        <w:spacing w:after="120"/>
      </w:pPr>
      <w:r>
        <w:t xml:space="preserve"/>
      </w:r>
    </w:p>
    <w:p>
      <w:pPr>
        <w:pBdr>
          <w:bottom w:val="single" w:color="BFBFBF" w:sz="6" w:space="1"/>
        </w:pBdr>
        <w:spacing w:before="120" w:after="120"/>
      </w:pPr>
      <w:r>
        <w:t xml:space="preserve"/>
      </w:r>
    </w:p>
    <w:p>
      <w:pPr>
        <w:spacing w:after="160" w:line="300"/>
        <w:jc w:val="both"/>
      </w:pPr>
      <w:r>
        <w:rPr>
          <w:i/>
          <w:iCs/>
        </w:rPr>
        <w:t xml:space="preserve">Acme Solutions will provide full, verified reference contact details upon request and with the consent of our reference clients. We are confident that these organizations will speak to the quality, reliability, and business impact of our Cloud ERP integration services.</w:t>
      </w:r>
    </w:p>
    <w:p>
      <w:pPr>
        <w:pBdr>
          <w:bottom w:val="single" w:color="BFBFBF" w:sz="6" w:space="1"/>
        </w:pBdr>
        <w:spacing w:before="120" w:after="120"/>
      </w:pPr>
      <w:r>
        <w:t xml:space="preserve"/>
      </w:r>
    </w:p>
    <w:p>
      <w:pPr>
        <w:spacing w:after="160" w:line="300"/>
        <w:jc w:val="both"/>
      </w:pPr>
      <w:r>
        <w:rPr>
          <w:b/>
          <w:bCs/>
        </w:rPr>
        <w:t xml:space="preserve">Submitted by:</w:t>
      </w:r>
      <w:r>
        <w:t xml:space="preserve"> Acme Solutions</w:t>
      </w:r>
    </w:p>
    <w:p>
      <w:pPr>
        <w:spacing w:after="160" w:line="300"/>
        <w:jc w:val="both"/>
      </w:pPr>
      <w:r>
        <w:rPr>
          <w:b/>
          <w:bCs/>
        </w:rPr>
        <w:t xml:space="preserve">Date:</w:t>
      </w:r>
      <w:r>
        <w:t xml:space="preserve"> May 20, 2026</w:t>
      </w:r>
    </w:p>
    <w:p>
      <w:pPr>
        <w:spacing w:after="160" w:line="300"/>
        <w:jc w:val="both"/>
      </w:pPr>
      <w:r>
        <w:rPr>
          <w:b/>
          <w:bCs/>
        </w:rPr>
        <w:t xml:space="preserve">RFP Reference:</w:t>
      </w:r>
      <w:r>
        <w:t xml:space="preserve"> NGL-2026-ERP-04</w:t>
      </w:r>
    </w:p>
    <w:p>
      <w:pPr>
        <w:spacing w:after="160" w:line="300"/>
        <w:jc w:val="both"/>
      </w:pPr>
      <w:r>
        <w:rPr>
          <w:b/>
          <w:bCs/>
        </w:rPr>
        <w:t xml:space="preserve">Primary Contact:</w:t>
      </w:r>
      <w:r>
        <w:t xml:space="preserve"> James O'Brien, VP of Sales &amp; Partnerships</w:t>
      </w:r>
    </w:p>
    <w:p>
      <w:pPr>
        <w:spacing w:after="160" w:line="300"/>
        <w:jc w:val="both"/>
      </w:pPr>
      <w:r>
        <w:rPr>
          <w:b/>
          <w:bCs/>
        </w:rPr>
        <w:t xml:space="preserve">Headquarters:</w:t>
      </w:r>
      <w:r>
        <w:t xml:space="preserve"> 123 ABC Lane, St. Louis, MO 63105</w:t>
      </w:r>
    </w:p>
    <w:p>
      <w:pPr>
        <w:spacing w:after="160" w:line="300"/>
        <w:jc w:val="both"/>
      </w:pPr>
      <w:r>
        <w:rPr>
          <w:i/>
          <w:iCs/>
        </w:rPr>
        <w:t xml:space="preserve">This proposal is valid for 90 days from the date of submission. We look forward to the opportunity to partner with Nexus Global Logistics on this transformative initiative.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Cloud ERP Implementation &amp; WMS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Calibri" w:cs="Calibri" w:eastAsia="Calibri" w:hAnsi="Calibri"/>
      <w:b/>
      <w:bCs/>
      <w:color w:val="1F3864"/>
      <w:sz w:val="52"/>
      <w:szCs w:val="52"/>
    </w:rPr>
  </w:style>
  <w:style w:type="paragraph" w:styleId="Heading1">
    <w:name w:val="Heading 1"/>
    <w:basedOn w:val="Normal"/>
    <w:next w:val="Normal"/>
    <w:qFormat/>
    <w:pPr>
      <w:pBdr>
        <w:bottom w:val="single" w:color="1F3864" w:sz="8" w:space="4"/>
      </w:pBdr>
      <w:spacing w:before="320" w:after="16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40" w:after="120"/>
      <w:outlineLvl w:val="1"/>
    </w:pPr>
    <w:rPr>
      <w:rFonts w:ascii="Calibri" w:cs="Calibri" w:eastAsia="Calibri" w:hAnsi="Calibri"/>
      <w:b/>
      <w:bCs/>
      <w:color w:val="2E74B5"/>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ERP Implementation &amp; WMS Integration</dc:title>
  <dc:creator>Acme Solutions</dc:creator>
  <cp:lastModifiedBy>Un-named</cp:lastModifiedBy>
  <cp:revision>1</cp:revision>
  <dcterms:created xsi:type="dcterms:W3CDTF">2026-04-18T12:54:42.447Z</dcterms:created>
  <dcterms:modified xsi:type="dcterms:W3CDTF">2026-04-18T12:54:42.448Z</dcterms:modified>
</cp:coreProperties>
</file>

<file path=docProps/custom.xml><?xml version="1.0" encoding="utf-8"?>
<Properties xmlns="http://schemas.openxmlformats.org/officeDocument/2006/custom-properties" xmlns:vt="http://schemas.openxmlformats.org/officeDocument/2006/docPropsVTypes"/>
</file>