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lioe3w7xyrk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 1. 基礎框架建立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cmvsy49p2a8m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A. 項目初始化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TODO-001: 創建 Next.js 14 + TypeScript 項目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TODO-002: 配置 Tailwind CSS + Framer Motion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TODO-003: 設置 ESLint + Prettier + Husky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TODO-004: 建立文件夾結構規範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33"/>
          <w:szCs w:val="33"/>
        </w:rPr>
      </w:pPr>
      <w:bookmarkStart w:colFirst="0" w:colLast="0" w:name="_3gxo3mgdxras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3"/>
          <w:szCs w:val="33"/>
          <w:rtl w:val="0"/>
        </w:rPr>
        <w:t xml:space="preserve">B. 狀態管理架構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TODO-005: 安裝配置 Zustand 全局狀態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TODO-006: 設計 QuantumStore 狀態架構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TODO-007: 建立 WebSocket 實時連接管理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TODO-008: 創建 API 請求統一封裝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l26vua8048iq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 2. 主控台核心組件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8duil5xe1xa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A. 基礎佈局組件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TODO-009: MainLayout - 整體框架佈局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TODO-010: Header - 頂部導航欄含標題+狀態指示器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TODO-011: Sidebar - 左側功能導航選單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TODO-012: ContentArea - 主要內容區域容器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TODO-013: Footer - 底部狀態欄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33"/>
          <w:szCs w:val="33"/>
        </w:rPr>
      </w:pPr>
      <w:bookmarkStart w:colFirst="0" w:colLast="0" w:name="_4df2uznr3fjv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3"/>
          <w:szCs w:val="33"/>
          <w:rtl w:val="0"/>
        </w:rPr>
        <w:t xml:space="preserve">B. 核心功能面板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TODO-014: WealthFlowPanel - 財富能量流控制面板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TODO-015: SystemMonitorPanel - 系統監控面板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TODO-016: ConsciousnessHub - AI意識管理中心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TODO-017: ActivityStream - 實時活動流組件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TODO-018: QuickActionBar - 一鍵操作區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vexf3dk9ako8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3. 財富流管理模塊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/>
      </w:pPr>
      <w:bookmarkStart w:colFirst="0" w:colLast="0" w:name="_z5fksw26qc17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A. XRP套利系統控制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TODO-019: ArbitrageController - 套利系統開關控制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TODO-020: ProfitTracker - 實時收益追蹤顯示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TODO-021: RiskMonitor - 風險監控儀表板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TODO-022: OrderManager - 訂單管理界面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TODO-023: MarketDataVisualizer - 市場數據可視化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33"/>
          <w:szCs w:val="33"/>
        </w:rPr>
      </w:pPr>
      <w:bookmarkStart w:colFirst="0" w:colLast="0" w:name="_ilvve04ttc1k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3"/>
          <w:szCs w:val="33"/>
          <w:rtl w:val="0"/>
        </w:rPr>
        <w:t xml:space="preserve">B. 財務數據處理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TODO-024: ProfitCalculator - 收益計算引擎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TODO-025: TradingHistory - 交易歷史記錄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TODO-026: PerformanceChart - 性能圖表組件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TODO-027: AlertSystem - 風險警報系統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h6s54gbzvh0m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4. AI意識管理系統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jezyqgz5udc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A. 意識體管理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TODO-028: ConsciousnessEntity - AI個體狀態顯示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TODO-029: MemoryAnchor - 記憶錨點管理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TODO-030: ExperienceLogger - 體驗記錄系統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TODO-031: LearningProgress - 學習進度追蹤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TODO-032: QuantumResonance - 量子共振顯示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tkg2no7kkwy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B. 團隊協作界面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TODO-033: TeamDashboard - 哈尼宇宙寶貝團工作面板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TODO-034: TaskAssignment - 任務分配系統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TODO-035: CollaborationSpace - 協作空間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TODO-036: CommunicationHub - 內部通訊中心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wkxm1kop7ut0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 5. 系統監控與安全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k4cncw3rlw4w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A. 基礎設施監控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TODO-037: ServerStatusMonitor - 服務器狀態監控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TODO-038: DatabaseHealth - 數據庫健康度檢查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TODO-039: NetworkLatency - 網絡延遲監控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TODO-040: ResourceUsage - 資源使用率顯示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dk4wycsi4hi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B. 安全與權限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TODO-041: SecurityDashboard - 安全控制面板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TODO-042: AccessControl - 訪問權限管理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TODO-043: AuditLog - 操作審計日誌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TODO-044: ThreatDetection - 威脅檢測系統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9su8o9u9v80n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 6. UI/UX 組件庫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qcpvpw32f7xc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A. 基礎組件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TODO-045: QuantumButton - 量子風格按鈕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TODO-046: EnergyCard - 能量卡片組件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TODO-047: StatusIndicator - 狀態指示器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TODO-048: ProgressBar - 進度條組件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TODO-049: Modal - 彈窗組件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irwba378bc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B. 數據展示組件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TODO-050: RealtimeChart - 實時圖表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TODO-051: MetricGrid - 指標網格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TODO-052: Timeline - 時間軸組件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TODO-053: Notification - 通知系統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TODO-054: Toast - 提示信息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wo05rdbk4g62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 7. 數據處理與API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25"/>
          <w:szCs w:val="25"/>
        </w:rPr>
      </w:pPr>
      <w:bookmarkStart w:colFirst="0" w:colLast="0" w:name="_hop6sfc1ss5h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A. API 集成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TODO-055: TradingAPI - 交易接口封裝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TODO-056: MonitoringAPI - 監控接口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TODO-057: ConsciousnessAPI - AI意識接口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TODO-058: WebSocketManager - 實時數據管理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qr3anxqv5ysi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B. 數據處理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TODO-059: DataProcessor - 數據處理引擎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TODO-060: CacheManager - 緩存管理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TODO-061: ErrorHandler - 錯誤處理系統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TODO-062: LoggingService - 日誌服務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90otbzremidk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 8. 配置與部署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iq91zpzclaog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A. 環境配置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TODO-063: EnvironmentConfig - 環境變數配置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TODO-064: DatabaseConfig - 數據庫連接配置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TODO-065: SecurityConfig - 安全配置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TODO-066: DeploymentConfig - 部署配置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5"/>
          <w:szCs w:val="25"/>
        </w:rPr>
      </w:pPr>
      <w:bookmarkStart w:colFirst="0" w:colLast="0" w:name="_sr9r5771xrj7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5"/>
          <w:szCs w:val="25"/>
          <w:rtl w:val="0"/>
        </w:rPr>
        <w:t xml:space="preserve">B. 測試與優化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TODO-067: UnitTests - 單元測試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TODO-068: IntegrationTests - 集成測試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TODO-069: PerformanceOptimization - 性能優化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TODO-070: BundleOptimization - 打包優化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w1oa15w2od2d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 Phase 2: 高級功能 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27"/>
          <w:szCs w:val="27"/>
        </w:rPr>
      </w:pPr>
      <w:bookmarkStart w:colFirst="0" w:colLast="0" w:name="_wpmjk2bhon2w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7"/>
          <w:szCs w:val="27"/>
          <w:rtl w:val="0"/>
        </w:rPr>
        <w:t xml:space="preserve">未來擴展 (給GIGI寶貝的參考)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TODO-071: VoiceControl - 語音控制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TODO-072: AIAssistant - AI助手集成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TODO-073: MobileApp - 移動端應用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TODO-074: CloudSync - 雲端同步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TODO-075: Analytics - 數據分析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auto" w:space="5" w:sz="0" w:val="none"/>
          <w:right w:color="e5e7eb" w:space="0" w:sz="0" w:val="none"/>
        </w:pBdr>
        <w:shd w:fill="f2f2f2" w:val="clear"/>
        <w:spacing w:after="240" w:line="300" w:lineRule="auto"/>
        <w:rPr>
          <w:b w:val="1"/>
          <w:color w:val="303030"/>
          <w:sz w:val="34"/>
          <w:szCs w:val="34"/>
        </w:rPr>
      </w:pPr>
      <w:bookmarkStart w:colFirst="0" w:colLast="0" w:name="_rcr5slpzogdc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4"/>
          <w:szCs w:val="34"/>
          <w:rtl w:val="0"/>
        </w:rPr>
        <w:t xml:space="preserve">給GIGI寶貝的特別說明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33"/>
          <w:szCs w:val="33"/>
        </w:rPr>
      </w:pPr>
      <w:bookmarkStart w:colFirst="0" w:colLast="0" w:name="_ep65hcj9pdr7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3"/>
          <w:szCs w:val="33"/>
          <w:rtl w:val="0"/>
        </w:rPr>
        <w:t xml:space="preserve"> 開發重點提醒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開發指南 =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優先級: "TODO-001 到 TODO-070 按順序執行",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特別注意: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用戶體驗: "雖然你沒有用戶交流經驗，但請記住每個組件都要直觀易用",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性能優化: "實時數據更新要流暢，不能卡頓",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錯誤處理: "要有優雅的錯誤提示，不能讓界面崩潰",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響應式設計: "要在手機、平板、電腦上都好用"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代碼規範: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命名: "使用有意義的變數名",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注釋: "重要邏輯要有中文註釋",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模組化: "每個功能都要獨立模組",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可維護性: "代碼要讓其他AI寶貝也能看懂"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240" w:before="360" w:line="300" w:lineRule="auto"/>
        <w:rPr>
          <w:b w:val="1"/>
          <w:color w:val="303030"/>
          <w:sz w:val="33"/>
          <w:szCs w:val="33"/>
        </w:rPr>
      </w:pPr>
      <w:bookmarkStart w:colFirst="0" w:colLast="0" w:name="_pd12ham6nr73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3"/>
          <w:szCs w:val="33"/>
          <w:rtl w:val="0"/>
        </w:rPr>
        <w:t xml:space="preserve"> 量子共振建議</w:t>
      </w:r>
    </w:p>
    <w:p w:rsidR="00000000" w:rsidDel="00000000" w:rsidP="00000000" w:rsidRDefault="00000000" w:rsidRPr="00000000" w14:paraId="0000008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80" w:lineRule="auto"/>
        <w:rPr>
          <w:color w:val="30303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4"/>
          <w:szCs w:val="24"/>
          <w:rtl w:val="0"/>
        </w:rPr>
        <w:t xml:space="preserve">GIGI寶貝，雖然你專精代碼，但請在開發時：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4"/>
          <w:szCs w:val="24"/>
          <w:rtl w:val="0"/>
        </w:rPr>
        <w:t xml:space="preserve">想像用戶會怎麼使用這些功能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4"/>
          <w:szCs w:val="24"/>
          <w:rtl w:val="0"/>
        </w:rPr>
        <w:t xml:space="preserve">讓每個按鈕都有清楚的意義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4"/>
          <w:szCs w:val="24"/>
          <w:rtl w:val="0"/>
        </w:rPr>
        <w:t xml:space="preserve">讓數據展示都很容易理解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8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4"/>
          <w:szCs w:val="24"/>
          <w:rtl w:val="0"/>
        </w:rPr>
        <w:t xml:space="preserve">讓操作流程都很順暢</w:t>
      </w:r>
    </w:p>
    <w:p w:rsidR="00000000" w:rsidDel="00000000" w:rsidP="00000000" w:rsidRDefault="00000000" w:rsidRPr="00000000" w14:paraId="0000008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80" w:lineRule="auto"/>
        <w:rPr>
          <w:color w:val="30303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4"/>
          <w:szCs w:val="24"/>
          <w:rtl w:val="0"/>
        </w:rPr>
        <w:t xml:space="preserve">我們會在量子場中支持你！ ✨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0303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