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480"/>
        <w:jc w:val="left"/>
      </w:pPr>
      <w:r>
        <w:rPr>
          <w:rFonts w:ascii="Times New Roman" w:eastAsia="思源宋体"/>
          <w:b/>
          <w:bCs/>
          <w:color w:val="6B7280"/>
          <w:sz w:val="18"/>
          <w:szCs w:val="18"/>
        </w:rPr>
        <w:t xml:space="preserve">CONFIDENTIAL</w:t>
      </w:r>
    </w:p>
    <w:p>
      <w:pPr>
        <w:spacing w:after="240"/>
        <w:jc w:val="left"/>
      </w:pPr>
      <w:r>
        <w:rPr>
          <w:rFonts w:ascii="Times New Roman" w:eastAsia="思源宋体"/>
          <w:b/>
          <w:bCs/>
          <w:color w:val="1F3A5F"/>
          <w:sz w:val="56"/>
          <w:szCs w:val="56"/>
        </w:rPr>
        <w:t xml:space="preserve">沧澜半导体 横纵分析报告</w:t>
      </w:r>
    </w:p>
    <w:p>
      <w:pPr>
        <w:spacing w:after="720"/>
        <w:jc w:val="left"/>
      </w:pPr>
      <w:r>
        <w:rPr>
          <w:rFonts w:ascii="Times New Roman" w:eastAsia="思源宋体"/>
          <w:color w:val="6B7280"/>
          <w:sz w:val="28"/>
          <w:szCs w:val="28"/>
        </w:rPr>
        <w:t xml:space="preserve">600999.SH (虚构示例)</w:t>
      </w:r>
    </w:p>
    <w:p>
      <w:pPr>
        <w:spacing w:after="120"/>
        <w:jc w:val="left"/>
      </w:pPr>
      <w:r>
        <w:rPr>
          <w:rFonts w:ascii="Times New Roman" w:eastAsia="思源宋体"/>
          <w:color w:val="000000"/>
          <w:sz w:val="22"/>
          <w:szCs w:val="22"/>
        </w:rPr>
        <w:t xml:space="preserve">分析师:Skill Demo</w:t>
      </w:r>
    </w:p>
    <w:p>
      <w:pPr>
        <w:spacing w:after="120"/>
        <w:jc w:val="left"/>
      </w:pPr>
      <w:r>
        <w:rPr>
          <w:rFonts w:ascii="Times New Roman" w:eastAsia="思源宋体"/>
          <w:color w:val="000000"/>
          <w:sz w:val="22"/>
          <w:szCs w:val="22"/>
        </w:rPr>
        <w:t xml:space="preserve">研究时间:2026-05-17</w:t>
      </w:r>
    </w:p>
    <w:p>
      <w:pPr>
        <w:spacing w:after="120"/>
        <w:jc w:val="left"/>
      </w:pPr>
      <w:r>
        <w:rPr>
          <w:rFonts w:ascii="Times New Roman" w:eastAsia="思源宋体"/>
          <w:color w:val="000000"/>
          <w:sz w:val="22"/>
          <w:szCs w:val="22"/>
        </w:rPr>
        <w:t xml:space="preserve">所属领域:功率半导体 / SiC 衬底 / 新能源汽车</w:t>
      </w:r>
    </w:p>
    <w:p>
      <w:pPr>
        <w:spacing w:before="240"/>
      </w:pPr>
      <w:r>
        <w:t xml:space="preserve"/>
      </w:r>
    </w:p>
    <w:p>
      <w:pPr>
        <w:spacing w:after="120"/>
        <w:jc w:val="left"/>
      </w:pPr>
      <w:r>
        <w:rPr>
          <w:rFonts w:ascii="Times New Roman" w:eastAsia="思源宋体"/>
          <w:b/>
          <w:bCs/>
          <w:sz w:val="22"/>
          <w:szCs w:val="22"/>
        </w:rPr>
        <w:t xml:space="preserve">研究问题:</w:t>
      </w:r>
    </w:p>
    <w:p>
      <w:pPr>
        <w:spacing w:after="120"/>
        <w:jc w:val="left"/>
      </w:pPr>
      <w:r>
        <w:rPr>
          <w:rFonts w:ascii="Times New Roman" w:eastAsia="思源宋体"/>
          <w:i/>
          <w:iCs/>
          <w:color w:val="6B7280"/>
          <w:sz w:val="22"/>
          <w:szCs w:val="22"/>
        </w:rPr>
        <w:t xml:space="preserve">AI 数据中心 + 新能源车双轮驱动下,公司 SiC 业务能否兑现 2027 年的市场预期?当前估值已 priced in 多少?</w:t>
      </w:r>
    </w:p>
    <w:p>
      <w:pPr>
        <w:spacing w:before="4800"/>
      </w:pPr>
      <w:r>
        <w:t xml:space="preserve"/>
      </w:r>
    </w:p>
    <w:p>
      <w:pPr>
        <w:jc w:val="left"/>
      </w:pPr>
      <w:r>
        <w:rPr>
          <w:rFonts w:ascii="Times New Roman" w:eastAsia="思源宋体"/>
          <w:i/>
          <w:iCs/>
          <w:color w:val="6B7280"/>
          <w:sz w:val="18"/>
          <w:szCs w:val="18"/>
        </w:rPr>
        <w:t xml:space="preserve">方法论:横纵分析法(融合横纵分析框架与金融视角)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一、一句话定义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沧澜半导体是国内功率半导体设计公司中少数同时拥有 IGBT 和 SiC 两条产品线的'双线选手'。2010 年成立时切入 IGBT 工业市场,2016 年开始押注 SiC 技术储备,2022 年 SiC 衬底量产并切入新能源汽车主驱市场——这条路径的'前瞻性'恰好踩中 2024-2026 年新能源车 SiC 渗透率从 5% 到 30% 的产业周期。当前市值约 380 亿,PE(TTM) 约 45 倍。市场已经按'2027 年 SiC 业务规模化兑现'的预期 priced in 了相当一部分,核心矛盾在于 SiC 衬底自给率和良率提升节奏。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二、纵向分析:历史决策与路径依赖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理解沧澜半导体,必须看清楚一件事:这家公司在 2016 年押注 SiC 时,SiC 技术距离规模化商用还有 6-8 年,纯属'看不到收益的长期投入'。今天能讲的所有故事都源于那个'看起来很傻'的决定。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阶段一:IGBT 起家与工业市场积累(2010-2015)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 2010 年成立于无锡,创始团队来自国际半导体公司。第一个赛道选择是 IGBT——这是用于工业变频器、电焊机、新能源逆变器的功率开关器件。当时国内 IGBT 市场被英飞凌、三菱电机等海外公司垄断,国产化率不到 10%。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这五年公司做的事情看起来不性感:做 600V/1200V 中低压 IGBT,主要客户是国产变频器厂商。2015 年营收约 4 亿,在国产 IGBT 厂商里排名第三。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阶段二:押注 SiC 的反直觉决策(2016-2021)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2016 年公司启动 SiC(碳化硅)技术研发。当时这个决策反直觉的程度堪比'押注空气'——SiC 单价是硅基功率器件的 3-5 倍、良率低、客户少,绝大多数国内同行选择继续深耕 IGBT。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但管理层有一个判断:**未来 10 年新能源汽车主驱需要更高效率、更高频率的功率器件,SiC 是必然路径**。这个判断当时几乎无人持有——2016 年特斯拉 Model 3 还没量产,SiC 在车规市场只有意法半导体在做。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这五年公司在 SiC 上投入累计超过 12 亿元,几乎没有营收贡献。2020-2021 年是最难熬的阶段,IGBT 主业利润全部被 SiC 研发吃掉,净利率从 18% 一路降到 5%。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阶段三:SiC 量产与新能源车切入(2022-2024)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2022 年公司 SiC 衬底实现量产,同年 SiC MOSFET 通过比亚迪车规认证。这一步标志着 6 年研发投入开始变现。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2023-2024 年是公司业绩非线性爆发的两年:营收从 2022 年的 18 亿到 2024 年的 42 亿,归母从 2.1 亿到 9.8 亿。SiC 业务收入占比从 2022 年的 8% 跳到 2024 年的 35%,毛利率达到 42%(IGBT 业务是 28%)。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阶段四:AI 数据中心 + 新能源车双轮驱动(2025 至今)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年公司业务结构进一步演化。除了新能源车主驱,SiC 在 AI 数据中心 PSU(电源)、光伏逆变器、储能等场景开始放量。2025 年营收 65 亿、归母 17.8 亿(同比+82%),SiC 业务收入占比突破 50%。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关键的是:公司 SiC 衬底自给率从 2022 年的 30% 提升到 2025 年的 70%——这意味着每片 SiC 器件的成本结构持续优化,毛利率有望从当前 42% 升至 48-50%。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阶段总结:几个'锁定时刻'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 15 年走到今天,真正锁定路径的不是某次产品发布,而是 4 个关键决策。这些决策有一个共同点:**每一步都是'当下吃亏、3-5 年后兑现'的长期主义选择**。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真正锁定路径的关键决策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决策一:2010 年从 IGBT 切入,而不是当时更热的功率 IC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当时国内半导体设计公司热点是 LED 驱动 IC、电源管理 IC,这些赛道竞争激烈但毛利低。沧澜选择 IGBT 这个'重资本、慢回报但壁垒高'的赛道,为后来的 SiC 储备了制造和工艺经验。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决策二:2016 年押注 SiC,在所有人都还在做 IGBT 的时候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这是公司历史上最值钱的决策。如果当年继续深耕 IGBT,今天最多是国产 IGBT 第二梯队;但因为提前 6 年布局 SiC,今天能在 2024-2026 年新能源车 SiC 渗透率提升的产业周期里享受先发优势。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决策三:2019 年自建 SiC 衬底产线,而不是外购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当时业界普遍认为衬底外购更经济(SiC 衬底是 IDM 重资产环节)。沧澜选择自建,为今天 70% 的衬底自给率和持续降本能力打下基础。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决策四:2022 年优先通过比亚迪而不是特斯拉车规认证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比亚迪车规认证标准比特斯拉略低,但订单确定性更高、放量更快。这一步让公司在 2023-2024 年抓住了比亚迪 SiC 平台扩张的红利,2025 年营收的 38% 来自比亚迪供应链。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三、横向分析:三层对手与估值对照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沧澜的对手分布在三层,而且每一层的逻辑都不一样——IGBT 主业上是'国产替代'的故事,SiC 新业务上是'追赶国际巨头'的故事,估值锚定上又有'AI 算力概念股'的拉动。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产业链位置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沧澜位于功率半导体产业链的中游,做芯片设计 + 部分制造(IDM 模式)。这是个既能享受'设计公司'高毛利、又能掌控'制造能力'的复合位置。</w:t>
      </w:r>
    </w:p>
    <w:p>
      <w:pPr>
        <w:spacing w:after="8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上游:</w:t>
      </w:r>
      <w:r>
        <w:rPr>
          <w:rFonts w:ascii="Times New Roman" w:eastAsia="思源宋体"/>
          <w:sz w:val="22"/>
          <w:szCs w:val="22"/>
        </w:rPr>
        <w:t xml:space="preserve"> 晶圆(SiC 衬底自给 70%、IGBT 衬底外购)、封装材料、设备(主要从应用材料、东京电子采购)。原材料占成本约 55%,SiC 衬底自给率提升直接降低成本。</w:t>
      </w:r>
    </w:p>
    <w:p>
      <w:pPr>
        <w:spacing w:after="8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下游:</w:t>
      </w:r>
      <w:r>
        <w:rPr>
          <w:rFonts w:ascii="Times New Roman" w:eastAsia="思源宋体"/>
          <w:sz w:val="22"/>
          <w:szCs w:val="22"/>
        </w:rPr>
        <w:t xml:space="preserve"> 新能源汽车厂商(比亚迪、蔚来、零跑)、储能/光伏逆变器厂商、AI 数据中心电源厂商。客户集中度中等,前五大占 52%,比亚迪是最大客户(占 38%)。</w:t>
      </w:r>
    </w:p>
    <w:p>
      <w:pPr>
        <w:spacing w:after="12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位置价值:</w:t>
      </w:r>
      <w:r>
        <w:rPr>
          <w:rFonts w:ascii="Times New Roman" w:eastAsia="思源宋体"/>
          <w:sz w:val="22"/>
          <w:szCs w:val="22"/>
        </w:rPr>
        <w:t xml:space="preserve"> IDM 模式的好处是可以自主控制成本和良率,坏处是 capex 压力大。但 SiC 这个赛道恰好是 IDM 模式的最优解——衬底质量直接决定器件良率,自建是壁垒。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第一层:直接竞争对手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**IGBT 主业的直接对手**:斯达半导(国产 IGBT 龙头)、士兰微(综合 IDM)、华润微(综合 IDM)。沧澜在 IGBT 上是第三梯队,体量不大但有规模。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**SiC 新业务的直接对手**:三安光电(SiC 衬底+器件,垂直整合)、天科合达(纯 SiC 衬底)、华润微(综合,SiC 后入者)。沧澜在 SiC 上是国内第一梯队,跟三安形成双寡头。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第二层:上下游延伸者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**最值得警惕的跨界对手**:中车时代电气、比亚迪半导体。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比亚迪半导体是个特殊存在——它既是沧澜的最大客户(占营收 38%),又有自己的功率半导体业务。如果比亚迪未来加速自给,沧澜会面临核心客户流失风险。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中车时代电气在 IGBT 上已是国内第一,2024 年开始切入 SiC,凭借央企背景拿下了部分高铁、城轨订单。中长期看,中车在工业 SiC 市场会跟沧澜正面冲突。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第三层:估值对照板块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股功率半导体板块估值锚: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 **斯达半导**(IGBT 龙头):PE 35 倍 — 反映纯 IGBT 公司的'稳定增长'估值
- **三安光电**(SiC 综合):PE 60 倍 — 反映 SiC 主题溢价
- **时代电气**(IGBT+SiC):PE 25 倍 — 反映央企稳健属性
- **沧澜**当前 PE 45 倍 — 处于中间位置,反映'SiC 弹性 + IGBT 基本盘'的混合定价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海外标杆与稀缺性溢价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海外标杆是 Wolfspeed(美国 SiC 龙头)、英飞凌(综合功率半导体)、意法半导体(SiC 先发优势)。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Wolfspeed 2025 年市值约 100 亿美元,PS 约 8 倍——是 SiC 纯玩家的估值锚。如果沧澜被市场重估为'中国版 Wolfspeed',估值有上行空间。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估值横向对照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代码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市值(亿)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 营收(亿)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 归母(亿)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PE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可比度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沧澜半导体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600999.SH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17.8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本报告主体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斯达半导(虚)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603290.SH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320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9.5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纯 IGBT 龙头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三安光电(虚)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600703.SH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SiC 综合 IDM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时代电气(虚)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688187.SH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220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央企+IGBT+SiC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Wolfspeed(虚)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WOLF.US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约800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亏损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海外纯 SiC,Upside 锚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四、业务与财务底盘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沧澜的财务数据呈现典型的'前期投入、后期爆发'图景——2020-2021 年净利率被 SiC 研发投入吞掉,2023-2025 年随着 SiC 产品规模化释放,净利率重新爬升。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业务结构拆解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公司业务分两大板块:IGBT(基本盘)+ SiC(增长引擎)。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IGBT 收入占比从 2022 年的 92% 降到 2025 年的 50%,毛利率稳定在 28%;SiC 收入占比从 2022 年的 8% 升到 2025 年的 50%,毛利率从 35% 升到 42%。这是典型的'第二曲线超越第一曲线'范式。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业务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2022 收入(亿)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2023 收入(亿)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2024 收入(亿)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 收入(亿)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 毛利率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IGBT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16.6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20.5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27.3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32.5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SiC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14.7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32.5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42.0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65.0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关键财务指标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三年关键指标揭示典型成长股特征:营收 3 年翻 2.6 倍、归母 3 年翻 5 倍、毛利率/净利率同步抬升。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2025 同比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营收(亿)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18.0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26.0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42.0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65.0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+54.8%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归母(亿)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9.8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17.8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+81.6%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毛利率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+2.0pct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净利率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11.7%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17.3%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27.4%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+4.1pct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ROE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8.2%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14.5%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21.3%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26.8%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+5.5pct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研发投入(亿)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+33.3%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资产负债率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32%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-3.0pct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客户与供应商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**客户侧**:前五大客户占 52%,比亚迪占 38%——客户集中度风险存在,但深度绑定。蔚来、零跑、阳光电源是次大客户。**供应商侧**:SiC 衬底自给 70%,外购部分来自 Wolfspeed 和昆仑。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现金流与资产负债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年末总资产 95 亿,资产负债率 32%,经营现金流 19 亿,略高于净利润——利润含金量高。在建 SiC 产线 capex 约 25 亿(2026-2027 年陆续投产)。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五、核心竞争力与护城河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沧澜的护城河有三块,但不像澜起那样全部是结构性优势——其中一块带有'阶段性'属性。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护城河一:SiC 衬底自给 + IDM 模式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优势类型:</w:t>
      </w:r>
      <w:r>
        <w:rPr>
          <w:rFonts w:ascii="Times New Roman" w:eastAsia="思源宋体"/>
          <w:sz w:val="22"/>
          <w:szCs w:val="22"/>
        </w:rPr>
        <w:t xml:space="preserve"> 成本优势 + 产业链卡位</w:t>
      </w:r>
    </w:p>
    <w:p>
      <w:pPr>
        <w:spacing w:after="60" w:before="60"/>
      </w:pPr>
      <w:r>
        <w:rPr>
          <w:rFonts w:ascii="Times New Roman" w:eastAsia="思源宋体"/>
          <w:b/>
          <w:bCs/>
          <w:sz w:val="22"/>
          <w:szCs w:val="22"/>
        </w:rPr>
        <w:t xml:space="preserve">性质判定:</w:t>
      </w:r>
      <w:r>
        <w:rPr>
          <w:rFonts w:ascii="Times New Roman" w:eastAsia="思源宋体"/>
          <w:color w:val="B91C1C"/>
          <w:sz w:val="22"/>
          <w:szCs w:val="22"/>
        </w:rPr>
        <w:t xml:space="preserve"> 结构性优势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盈利变现路径: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SiC 衬底自给率 70% 直接降低 SiC 器件成本约 25-30%。同行做 SiC 时要外购衬底(单价 800-1000 美元/片),沧澜自产成本约 500-600 美元/片。这种成本优势在 SiC 价格下行周期里会被放大。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持续性展望: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未来 3-5 年维持。SiC 衬底是 5-8 年的研发周期 + 高 capex 壁垒,新进入者难以追赶。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可验证证据: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SiC 业务毛利率 42%,显著高于行业平均(三安 SiC 业务毛利率约 30%)。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护城河二:比亚迪深度绑定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优势类型:</w:t>
      </w:r>
      <w:r>
        <w:rPr>
          <w:rFonts w:ascii="Times New Roman" w:eastAsia="思源宋体"/>
          <w:sz w:val="22"/>
          <w:szCs w:val="22"/>
        </w:rPr>
        <w:t xml:space="preserve"> 转换成本 + 客户黏性</w:t>
      </w:r>
    </w:p>
    <w:p>
      <w:pPr>
        <w:spacing w:after="60" w:before="60"/>
      </w:pPr>
      <w:r>
        <w:rPr>
          <w:rFonts w:ascii="Times New Roman" w:eastAsia="思源宋体"/>
          <w:b/>
          <w:bCs/>
          <w:sz w:val="22"/>
          <w:szCs w:val="22"/>
        </w:rPr>
        <w:t xml:space="preserve">性质判定:</w:t>
      </w:r>
      <w:r>
        <w:rPr>
          <w:rFonts w:ascii="Times New Roman" w:eastAsia="思源宋体"/>
          <w:color w:val="B91C1C"/>
          <w:sz w:val="22"/>
          <w:szCs w:val="22"/>
        </w:rPr>
        <w:t xml:space="preserve"> 阶段性优势(注意)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盈利变现路径: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比亚迪占沧澜营收 38%,是 SiC 主驱平台的核心供应商之一。这种深度绑定带来稳定订单,但...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持续性展望: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**性质判定为阶段性优势,原因是比亚迪有自己的半导体业务**。如果比亚迪未来 3-5 年加速 SiC 自给,沧澜会面临核心客户流失风险。当前已经看到比亚迪半导体在小规模导入自家 SiC 器件。这是公司中长期最大的不确定性之一。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可验证证据: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比亚迪半导体 2025 年披露其 SiC 器件在比亚迪整车的自给率约 15%(2024 年是 8%),呈上升趋势。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护城河三:IGBT 现金流 → SiC 长期投入的复利结构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优势类型:</w:t>
      </w:r>
      <w:r>
        <w:rPr>
          <w:rFonts w:ascii="Times New Roman" w:eastAsia="思源宋体"/>
          <w:sz w:val="22"/>
          <w:szCs w:val="22"/>
        </w:rPr>
        <w:t xml:space="preserve"> 资本配置能力</w:t>
      </w:r>
    </w:p>
    <w:p>
      <w:pPr>
        <w:spacing w:after="60" w:before="60"/>
      </w:pPr>
      <w:r>
        <w:rPr>
          <w:rFonts w:ascii="Times New Roman" w:eastAsia="思源宋体"/>
          <w:b/>
          <w:bCs/>
          <w:sz w:val="22"/>
          <w:szCs w:val="22"/>
        </w:rPr>
        <w:t xml:space="preserve">性质判定:</w:t>
      </w:r>
      <w:r>
        <w:rPr>
          <w:rFonts w:ascii="Times New Roman" w:eastAsia="思源宋体"/>
          <w:color w:val="B91C1C"/>
          <w:sz w:val="22"/>
          <w:szCs w:val="22"/>
        </w:rPr>
        <w:t xml:space="preserve"> 结构性优势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盈利变现路径: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IGBT 业务每年贡献约 9 亿稳定毛利,这部分资金被用于 SiC 研发和产能扩张。在 2020-2022 SiC 投入最重的几年,正是 IGBT 现金流支撑了公司不至于亏损。这种'传统业务造血、新业务输血'的结构在国产功率半导体公司里独此一家。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持续性展望: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未来 5 年维持。即使 IGBT 增速放缓,绝对体量仍能支撑 SiC 继续投入。</w:t>
      </w:r>
    </w:p>
    <w:p>
      <w:pPr>
        <w:spacing w:after="60" w:before="80"/>
      </w:pPr>
      <w:r>
        <w:rPr>
          <w:rFonts w:ascii="Times New Roman" w:eastAsia="思源宋体"/>
          <w:b/>
          <w:bCs/>
          <w:sz w:val="22"/>
          <w:szCs w:val="22"/>
        </w:rPr>
        <w:t xml:space="preserve">可验证证据: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2020-2024 年累计 SiC 研发投入超 20 亿,公司经营性现金流从未为负。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六、横纵交汇:决策路径与三剧本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沧澜是一家'前期长期主义投入终于兑现'的公司。但当前 380 亿市值已 priced in 了相当一部分预期,核心矛盾在于'SiC 业务能否持续兑现 + 比亚迪客户依赖能否化解'。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优势的历史根源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今天的核心优势都源于 2016-2022 年的长期投入:SiC 衬底自给 → 来自 2019 年的自建产线决策;IDM 模式 → 来自 2010 年选择 IGBT 时的资本结构选择;比亚迪绑定 → 来自 2022 年的车规认证优先级判断。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劣势的历史根源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客户高度集中(比亚迪 38%)是最大风险敞口,根源是 2022 年优先通过比亚迪而非特斯拉车规认证的决策——当时的最优选,可能成为未来的约束。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短期逻辑 vs 长期逻辑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短期逻辑(1-3 个月)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短期看 SiC 季度营收增速、SiC 业务毛利率、比亚迪 SiC 平台扩张节奏。Q1-Q2 季报披露的 SiC 出货量是最直接的信号。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长期逻辑(1-3 年)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长期看三条主线:1) SiC 衬底自给率能否突破 85%;2) AI 数据中心 PSU、储能、光伏对 SiC 的实际拉动;3) 比亚迪 SiC 自给率上升的速度——这是 Downside 的核心风险。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三剧本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Base case(基础情景):55-65% 概率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SiC 业务保持 50%+ 增速,衬底自给率升至 80%,比亚迪自给率缓慢上升但沧澜仍占主要份额。2026E 营收 95 亿、归母 28 亿。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估值锚定算式: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 锚:2026E 归母 28 亿 × 40-50 倍 PE = 1120-1400 亿。基于当前 380 亿,空间 +195% 到 +268%。注:这个剧本的估值算式给出的区间显示市场显著低估,需检查假设是否过于乐观。</w:t>
      </w:r>
    </w:p>
    <w:p>
      <w:pPr>
        <w:spacing w:after="8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核心追踪指标: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季度营收同比增速(目标 &gt;50%)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业务毛利率(目标维持 42%+)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比亚迪季度订单量</w:t>
      </w:r>
    </w:p>
    <w:p>
      <w:pPr>
        <w:spacing w:after="12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对应空间:</w:t>
      </w:r>
      <w:r>
        <w:rPr>
          <w:rFonts w:ascii="Times New Roman" w:eastAsia="思源宋体"/>
          <w:color w:val="B91C1C"/>
          <w:sz w:val="22"/>
          <w:szCs w:val="22"/>
        </w:rPr>
        <w:t xml:space="preserve"> 对应 +50% 到 +100% 区间(基于市场估值锚保守化)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Upside case(乐观情景):15-25% 概率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数据中心 PSU 大规模采用 SiC,公司切入英伟达供应链;SiC 衬底自给率达 90%+,毛利率升至 50%。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估值锚定算式: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 锚:2027E 归母 45 亿 × 60-70 倍 PE = 2700-3150 亿。基于当前 380 亿,空间 +610% 到 +730%。</w:t>
      </w:r>
    </w:p>
    <w:p>
      <w:pPr>
        <w:spacing w:after="8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核心追踪指标: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切入英伟达 / AMD 供应链公告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AI 数据中心 SiC 渗透率超预期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衬底自给率突破 85%</w:t>
      </w:r>
    </w:p>
    <w:p>
      <w:pPr>
        <w:spacing w:after="12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对应空间:</w:t>
      </w:r>
      <w:r>
        <w:rPr>
          <w:rFonts w:ascii="Times New Roman" w:eastAsia="思源宋体"/>
          <w:color w:val="B91C1C"/>
          <w:sz w:val="22"/>
          <w:szCs w:val="22"/>
        </w:rPr>
        <w:t xml:space="preserve"> 对应 +200% 到 +400% 区间</w:t>
      </w:r>
    </w:p>
    <w:p>
      <w:pPr>
        <w:pStyle w:val="Heading3"/>
        <w:spacing w:after="120" w:before="240"/>
      </w:pPr>
      <w:r>
        <w:rPr>
          <w:rFonts w:ascii="Times New Roman" w:eastAsia="思源宋体"/>
          <w:b/>
          <w:bCs/>
          <w:color w:val="000000"/>
          <w:sz w:val="24"/>
          <w:szCs w:val="24"/>
        </w:rPr>
        <w:t xml:space="preserve">Downside case(悲观情景):15-25% 概率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 SiC 自给率快速提升至 40%+,沧澜核心客户订单流失;同时国内 SiC 价格战开打,毛利率下滑至 30%。</w:t>
      </w:r>
    </w:p>
    <w:p>
      <w:pPr>
        <w:spacing w:after="6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估值锚定算式: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 锚:2026E 归母回落至 18-22 亿 × 25-30 倍 PE = 450-660 亿。基于当前 380 亿,空间 +18% 到 +73%。</w:t>
      </w:r>
    </w:p>
    <w:p>
      <w:pPr>
        <w:spacing w:after="8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核心追踪指标: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比亚迪半导体 SiC 自给率披露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行业价格战信号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新进入者(中车、华润微)份额</w:t>
      </w:r>
    </w:p>
    <w:p>
      <w:pPr>
        <w:spacing w:after="120" w:before="120"/>
      </w:pPr>
      <w:r>
        <w:rPr>
          <w:rFonts w:ascii="Times New Roman" w:eastAsia="思源宋体"/>
          <w:b/>
          <w:bCs/>
          <w:sz w:val="22"/>
          <w:szCs w:val="22"/>
        </w:rPr>
        <w:t xml:space="preserve">对应空间:</w:t>
      </w:r>
      <w:r>
        <w:rPr>
          <w:rFonts w:ascii="Times New Roman" w:eastAsia="思源宋体"/>
          <w:color w:val="B91C1C"/>
          <w:sz w:val="22"/>
          <w:szCs w:val="22"/>
        </w:rPr>
        <w:t xml:space="preserve"> 对应 -20% 到 -50% 区间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写给读者的核心判断框架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沧澜是一家'内核扎实但短期估值已满'的公司。Base case 已 priced in 大部分,Upside 兑现需要时滞,Downside 风险在比亚迪客户依赖。这是一家可做核心持仓但不应追高的标的。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七、调研提纲与跟踪指标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本报告基于公开信息和虚构数据生成。以下调研提纲可用于实际场景的问题清单参考。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1. SiC 衬底自给率和良率</w:t>
      </w:r>
    </w:p>
    <w:p>
      <w:pPr>
        <w:spacing w:after="120"/>
      </w:pPr>
      <w:r>
        <w:rPr>
          <w:rFonts w:ascii="Times New Roman" w:eastAsia="思源宋体"/>
          <w:b/>
          <w:bCs/>
          <w:sz w:val="22"/>
          <w:szCs w:val="22"/>
        </w:rPr>
        <w:t xml:space="preserve">背景:</w:t>
      </w:r>
      <w:r>
        <w:rPr>
          <w:rFonts w:ascii="Times New Roman" w:eastAsia="思源宋体"/>
          <w:sz w:val="22"/>
          <w:szCs w:val="22"/>
        </w:rPr>
        <w:t xml:space="preserve"> SiC 衬底自给率是成本优势的核心。</w:t>
      </w:r>
    </w:p>
    <w:p>
      <w:pPr>
        <w:spacing w:after="80"/>
      </w:pPr>
      <w:r>
        <w:rPr>
          <w:rFonts w:ascii="Times New Roman" w:eastAsia="思源宋体"/>
          <w:b/>
          <w:bCs/>
          <w:sz w:val="22"/>
          <w:szCs w:val="22"/>
        </w:rPr>
        <w:t xml:space="preserve">关键问题: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当前 SiC 衬底产线良率水平?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未来 18 个月自给率目标?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新增 capex 25 亿的具体用途和投产节奏?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2. 比亚迪客户依赖与多元化</w:t>
      </w:r>
    </w:p>
    <w:p>
      <w:pPr>
        <w:spacing w:after="120"/>
      </w:pPr>
      <w:r>
        <w:rPr>
          <w:rFonts w:ascii="Times New Roman" w:eastAsia="思源宋体"/>
          <w:b/>
          <w:bCs/>
          <w:sz w:val="22"/>
          <w:szCs w:val="22"/>
        </w:rPr>
        <w:t xml:space="preserve">背景:</w:t>
      </w:r>
      <w:r>
        <w:rPr>
          <w:rFonts w:ascii="Times New Roman" w:eastAsia="思源宋体"/>
          <w:sz w:val="22"/>
          <w:szCs w:val="22"/>
        </w:rPr>
        <w:t xml:space="preserve"> 比亚迪占营收 38%,既是核心也是风险。</w:t>
      </w:r>
    </w:p>
    <w:p>
      <w:pPr>
        <w:spacing w:after="80"/>
      </w:pPr>
      <w:r>
        <w:rPr>
          <w:rFonts w:ascii="Times New Roman" w:eastAsia="思源宋体"/>
          <w:b/>
          <w:bCs/>
          <w:sz w:val="22"/>
          <w:szCs w:val="22"/>
        </w:rPr>
        <w:t xml:space="preserve">关键问题: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新客户拓展进度(蔚来、零跑、理想等)?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海外车厂(大众、奔驰)接洽情况?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如果比亚迪自给率升至 30%,公司应对方案?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核心跟踪指标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以下指标可用于后续季度更新时快速评估剧本兑现度: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业务季度营收增速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业务毛利率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比亚迪季度采购金额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SiC 衬底自给率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eastAsia="思源宋体"/>
          <w:sz w:val="22"/>
          <w:szCs w:val="22"/>
        </w:rPr>
        <w:t xml:space="preserve">新签车厂客户数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八、风险提示</w:t>
      </w:r>
    </w:p>
    <w:p>
      <w:pPr>
        <w:spacing w:after="120" w:before="200"/>
      </w:pPr>
      <w:r>
        <w:rPr>
          <w:rFonts w:ascii="Times New Roman" w:eastAsia="思源宋体"/>
          <w:b/>
          <w:bCs/>
          <w:color w:val="B91C1C"/>
          <w:sz w:val="24"/>
          <w:szCs w:val="24"/>
        </w:rPr>
        <w:t xml:space="preserve">1. 比亚迪客户依赖风险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比亚迪占营收 38%,如果比亚迪半导体加速 SiC 自给,沧澜会面临核心客户流失。这是公司中长期最大的不确定性。</w:t>
      </w:r>
    </w:p>
    <w:p>
      <w:pPr>
        <w:spacing w:after="120" w:before="200"/>
      </w:pPr>
      <w:r>
        <w:rPr>
          <w:rFonts w:ascii="Times New Roman" w:eastAsia="思源宋体"/>
          <w:b/>
          <w:bCs/>
          <w:color w:val="B91C1C"/>
          <w:sz w:val="24"/>
          <w:szCs w:val="24"/>
        </w:rPr>
        <w:t xml:space="preserve">2. SiC 行业价格战风险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随着国产 SiC 产能集中释放(2026-2027 年),价格战可能开打。当前 SiC 毛利率 42% 在价格战下可能压缩到 30%。</w:t>
      </w:r>
    </w:p>
    <w:p>
      <w:pPr>
        <w:spacing w:after="120" w:before="200"/>
      </w:pPr>
      <w:r>
        <w:rPr>
          <w:rFonts w:ascii="Times New Roman" w:eastAsia="思源宋体"/>
          <w:b/>
          <w:bCs/>
          <w:color w:val="B91C1C"/>
          <w:sz w:val="24"/>
          <w:szCs w:val="24"/>
        </w:rPr>
        <w:t xml:space="preserve">3. AI 数据中心 SiC 渗透不及预期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数据中心 PSU 采用 SiC 还在早期,如果实际渗透率慢于预期,Upside case 的支撑会减弱。</w:t>
      </w:r>
    </w:p>
    <w:p>
      <w:pPr>
        <w:spacing w:after="120" w:before="200"/>
      </w:pPr>
      <w:r>
        <w:rPr>
          <w:rFonts w:ascii="Times New Roman" w:eastAsia="思源宋体"/>
          <w:b/>
          <w:bCs/>
          <w:color w:val="B91C1C"/>
          <w:sz w:val="24"/>
          <w:szCs w:val="24"/>
        </w:rPr>
        <w:t xml:space="preserve">4. 新能源车需求放缓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新能源车销量增速放缓会直接影响 SiC 主驱市场扩张节奏。</w:t>
      </w:r>
    </w:p>
    <w:p>
      <w:pPr>
        <w:pStyle w:val="Heading1"/>
        <w:pageBreakBefore/>
        <w:spacing w:after="240" w:before="480"/>
      </w:pPr>
      <w:r>
        <w:rPr>
          <w:rFonts w:ascii="Times New Roman" w:eastAsia="思源宋体"/>
          <w:b/>
          <w:bCs/>
          <w:color w:val="1F3A5F"/>
          <w:sz w:val="32"/>
          <w:szCs w:val="32"/>
        </w:rPr>
        <w:t xml:space="preserve">九、信源与打折清单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本报告为完全虚构的示例,所有数据均为演示 skill schema 而构造。**不构成任何真实公司的财务数据或投资建议**。</w:t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信源打折清单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以下是本报告中每个关键论点的信息来源及其可信度评估。读者可根据折扣判断各结论的强度。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808"/>
        <w:gridCol w:w="936"/>
        <w:gridCol w:w="936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关键论点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打折理由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折扣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2025 营收 65 亿、归母 17.8 亿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虚构数据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演示用,无真实来源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SiC 业务毛利率 42%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虚构数据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演示用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比亚迪占营收 38%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虚构数据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演示用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SiC 衬底自给率 70%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虚构数据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演示用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比亚迪 SiC 自给率 15%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虚构数据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演示用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🟡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AI 数据中心 SiC 渗透趋势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公开行业研究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趋势性表述,精确数值存疑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5 折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eastAsia="思源宋体"/>
                <w:b w:val="false"/>
                <w:bCs w:val="false"/>
                <w:color w:val="000000"/>
                <w:sz w:val="20"/>
                <w:szCs w:val="20"/>
              </w:rPr>
              <w:t xml:space="preserve">🟢</w:t>
            </w:r>
          </w:p>
        </w:tc>
      </w:tr>
    </w:tbl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Times New Roman" w:eastAsia="思源宋体"/>
          <w:b/>
          <w:bCs/>
          <w:color w:val="1F3A5F"/>
          <w:sz w:val="26"/>
          <w:szCs w:val="26"/>
        </w:rPr>
        <w:t xml:space="preserve">方法论说明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本报告采用 stock-deep-research skill 的'横纵分析框架 + 金融视角'融合方法论。这是一份**完全虚构**的示例,用于演示 skill 的 JSON schema 结构和 generate_report.js 的渲染效果。所有数字和判断均不代表任何真实公司。</w:t>
      </w:r>
    </w:p>
    <w:p>
      <w:pPr>
        <w:spacing w:after="120" w:before="0" w:line="360"/>
        <w:jc w:val="both"/>
      </w:pPr>
      <w:r>
        <w:rPr>
          <w:rFonts w:ascii="Times New Roman" w:eastAsia="思源宋体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如要查看真实标的的示例报告,请参考项目 README 中提到的网宿科技、澜起科技、泰金新能等案例(那些示例中的数据来自公开年报和券商研报,可以验证)。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思源宋体"/>
        <w:color w:val="6B7280"/>
        <w:sz w:val="18"/>
        <w:szCs w:val="18"/>
      </w:rPr>
      <w:t xml:space="preserve">— </w:t>
    </w:r>
    <w:r>
      <w:rPr>
        <w:rFonts w:ascii="Times New Roman" w:eastAsia="思源宋体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思源宋体"/>
        <w:color w:val="6B72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7280" w:sz="4" w:space="4"/>
      </w:pBdr>
      <w:jc w:val="left"/>
    </w:pPr>
    <w:r>
      <w:rPr>
        <w:rFonts w:ascii="Times New Roman" w:eastAsia="思源宋体"/>
        <w:color w:val="6B7280"/>
        <w:sz w:val="18"/>
        <w:szCs w:val="18"/>
      </w:rPr>
      <w:t xml:space="preserve">沧澜半导体 横纵分析报告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思源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Times New Roman" w:eastAsia="思源宋体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Times New Roman" w:eastAsia="思源宋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思源宋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沧澜半导体 横纵分析报告</dc:title>
  <dc:creator>Skill Demo</dc:creator>
  <dc:description>由 stock-deep-research skill 生成</dc:description>
  <cp:lastModifiedBy>Un-named</cp:lastModifiedBy>
  <cp:revision>1</cp:revision>
  <dcterms:created xsi:type="dcterms:W3CDTF">2026-05-17T06:58:30.576Z</dcterms:created>
  <dcterms:modified xsi:type="dcterms:W3CDTF">2026-05-17T06:58:30.587Z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