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钱伟长图书馆——科学家精神的大思政课堂</w:t>
      </w:r>
    </w:p>
    <w:p>
      <w:pPr>
        <w:pStyle w:val="Heading2"/>
      </w:pPr>
      <w:r>
        <w:rPr>
          <w:rFonts w:ascii="黑体" w:hAnsi="黑体" w:eastAsia="黑体"/>
          <w:sz w:val="28"/>
        </w:rPr>
        <w:t>案例信息卡</w:t>
      </w:r>
    </w:p>
    <w:tbl>
      <w:tblPr>
        <w:tblStyle w:val="TableGrid"/>
        <w:tblW w:type="auto" w:w="0"/>
        <w:tblLayout w:type="autofit"/>
        <w:tblLook w:firstColumn="1" w:firstRow="1" w:lastColumn="0" w:lastRow="0" w:noHBand="0" w:noVBand="1" w:val="04A0"/>
      </w:tblPr>
      <w:tblGrid>
        <w:gridCol w:w="4323"/>
        <w:gridCol w:w="4323"/>
      </w:tblGrid>
      <w:tr>
        <w:tc>
          <w:tcPr>
            <w:tcW w:type="dxa" w:w="1984"/>
            <w:shd w:fill="D9E2F3" w:val="clear"/>
          </w:tcPr>
          <w:p>
            <w:pPr>
              <w:jc w:val="center"/>
            </w:pPr>
            <w:r>
              <w:rPr>
                <w:rFonts w:ascii="宋体" w:hAnsi="宋体" w:eastAsia="宋体"/>
                <w:b/>
                <w:sz w:val="22"/>
              </w:rPr>
              <w:t>案例题目</w:t>
            </w:r>
          </w:p>
        </w:tc>
        <w:tc>
          <w:tcPr>
            <w:tcW w:type="dxa" w:w="7370"/>
          </w:tcPr>
          <w:p>
            <w:r>
              <w:rPr>
                <w:rFonts w:ascii="宋体" w:hAnsi="宋体" w:eastAsia="宋体"/>
                <w:sz w:val="22"/>
              </w:rPr>
              <w:t>钱伟长图书馆——科学家精神的大思政课堂</w:t>
            </w:r>
          </w:p>
        </w:tc>
      </w:tr>
      <w:tr>
        <w:tc>
          <w:tcPr>
            <w:tcW w:type="dxa" w:w="1984"/>
            <w:shd w:fill="D9E2F3" w:val="clear"/>
          </w:tcPr>
          <w:p>
            <w:pPr>
              <w:jc w:val="center"/>
            </w:pPr>
            <w:r>
              <w:rPr>
                <w:rFonts w:ascii="宋体" w:hAnsi="宋体" w:eastAsia="宋体"/>
                <w:b/>
                <w:sz w:val="22"/>
              </w:rPr>
              <w:t>作者</w:t>
            </w:r>
          </w:p>
        </w:tc>
        <w:tc>
          <w:tcPr>
            <w:tcW w:type="dxa" w:w="7370"/>
          </w:tcPr>
          <w:p>
            <w:r>
              <w:rPr>
                <w:rFonts w:ascii="宋体" w:hAnsi="宋体" w:eastAsia="宋体"/>
                <w:sz w:val="22"/>
              </w:rPr>
              <w:t>上海大学"强国有我"思政案例库课题组</w:t>
            </w:r>
          </w:p>
        </w:tc>
      </w:tr>
      <w:tr>
        <w:tc>
          <w:tcPr>
            <w:tcW w:type="dxa" w:w="1984"/>
            <w:shd w:fill="D9E2F3" w:val="clear"/>
          </w:tcPr>
          <w:p>
            <w:pPr>
              <w:jc w:val="center"/>
            </w:pPr>
            <w:r>
              <w:rPr>
                <w:rFonts w:ascii="宋体" w:hAnsi="宋体" w:eastAsia="宋体"/>
                <w:b/>
                <w:sz w:val="22"/>
              </w:rPr>
              <w:t>报送单位</w:t>
            </w:r>
          </w:p>
        </w:tc>
        <w:tc>
          <w:tcPr>
            <w:tcW w:type="dxa" w:w="7370"/>
          </w:tcPr>
          <w:p>
            <w:r>
              <w:rPr>
                <w:rFonts w:ascii="宋体" w:hAnsi="宋体" w:eastAsia="宋体"/>
                <w:sz w:val="22"/>
              </w:rPr>
              <w:t>上海大学</w:t>
            </w:r>
          </w:p>
        </w:tc>
      </w:tr>
      <w:tr>
        <w:tc>
          <w:tcPr>
            <w:tcW w:type="dxa" w:w="1984"/>
            <w:shd w:fill="D9E2F3" w:val="clear"/>
          </w:tcPr>
          <w:p>
            <w:pPr>
              <w:jc w:val="center"/>
            </w:pPr>
            <w:r>
              <w:rPr>
                <w:rFonts w:ascii="宋体" w:hAnsi="宋体" w:eastAsia="宋体"/>
                <w:b/>
                <w:sz w:val="22"/>
              </w:rPr>
              <w:t>学段</w:t>
            </w:r>
          </w:p>
        </w:tc>
        <w:tc>
          <w:tcPr>
            <w:tcW w:type="dxa" w:w="7370"/>
          </w:tcPr>
          <w:p>
            <w:r>
              <w:rPr>
                <w:rFonts w:ascii="宋体" w:hAnsi="宋体" w:eastAsia="宋体"/>
                <w:sz w:val="22"/>
              </w:rPr>
              <w:t>本科及研究生</w:t>
            </w:r>
          </w:p>
        </w:tc>
      </w:tr>
      <w:tr>
        <w:tc>
          <w:tcPr>
            <w:tcW w:type="dxa" w:w="1984"/>
            <w:shd w:fill="D9E2F3" w:val="clear"/>
          </w:tcPr>
          <w:p>
            <w:pPr>
              <w:jc w:val="center"/>
            </w:pPr>
            <w:r>
              <w:rPr>
                <w:rFonts w:ascii="宋体" w:hAnsi="宋体" w:eastAsia="宋体"/>
                <w:b/>
                <w:sz w:val="22"/>
              </w:rPr>
              <w:t>应用课程</w:t>
            </w:r>
          </w:p>
        </w:tc>
        <w:tc>
          <w:tcPr>
            <w:tcW w:type="dxa" w:w="7370"/>
          </w:tcPr>
          <w:p>
            <w:r>
              <w:rPr>
                <w:rFonts w:ascii="宋体" w:hAnsi="宋体" w:eastAsia="宋体"/>
                <w:sz w:val="22"/>
              </w:rPr>
              <w:t>习近平新时代中国特色社会主义思想概论、形势与政策、思想道德与法治</w:t>
            </w:r>
          </w:p>
        </w:tc>
      </w:tr>
      <w:tr>
        <w:tc>
          <w:tcPr>
            <w:tcW w:type="dxa" w:w="1984"/>
            <w:shd w:fill="D9E2F3" w:val="clear"/>
          </w:tcPr>
          <w:p>
            <w:pPr>
              <w:jc w:val="center"/>
            </w:pPr>
            <w:r>
              <w:rPr>
                <w:rFonts w:ascii="宋体" w:hAnsi="宋体" w:eastAsia="宋体"/>
                <w:b/>
                <w:sz w:val="22"/>
              </w:rPr>
              <w:t>理论知识点</w:t>
            </w:r>
          </w:p>
        </w:tc>
        <w:tc>
          <w:tcPr>
            <w:tcW w:type="dxa" w:w="7370"/>
          </w:tcPr>
          <w:p>
            <w:r>
              <w:rPr>
                <w:rFonts w:ascii="宋体" w:hAnsi="宋体" w:eastAsia="宋体"/>
                <w:sz w:val="22"/>
              </w:rPr>
              <w:t>科学家精神、爱国主义教育、文化自信、大思政课建设</w:t>
            </w:r>
          </w:p>
        </w:tc>
      </w:tr>
      <w:tr>
        <w:tc>
          <w:tcPr>
            <w:tcW w:type="dxa" w:w="1984"/>
            <w:shd w:fill="D9E2F3" w:val="clear"/>
          </w:tcPr>
          <w:p>
            <w:pPr>
              <w:jc w:val="center"/>
            </w:pPr>
            <w:r>
              <w:rPr>
                <w:rFonts w:ascii="宋体" w:hAnsi="宋体" w:eastAsia="宋体"/>
                <w:b/>
                <w:sz w:val="22"/>
              </w:rPr>
              <w:t>案例概述</w:t>
            </w:r>
          </w:p>
        </w:tc>
        <w:tc>
          <w:tcPr>
            <w:tcW w:type="dxa" w:w="7370"/>
          </w:tcPr>
          <w:p>
            <w:r>
              <w:rPr>
                <w:rFonts w:ascii="宋体" w:hAnsi="宋体" w:eastAsia="宋体"/>
                <w:sz w:val="22"/>
              </w:rPr>
              <w:t>本案例以上海大学钱伟长图书馆入选上海市第二批"大思政课"实践教学基地为契机，呈现了一座图书馆从学术殿堂到思政教育阵地的蜕变历程。案例聚焦科学家精神的时代价值与场馆育人的实践路径，探讨如何将"爱国""奉献"等抽象价值转化为可感可知的沉浸式体验，揭示"大思政课"场馆资源转化机制的内在逻辑。</w:t>
            </w:r>
          </w:p>
        </w:tc>
      </w:tr>
    </w:tbl>
    <w:p/>
    <w:p>
      <w:pPr>
        <w:pStyle w:val="Heading1"/>
      </w:pPr>
      <w:r>
        <w:rPr>
          <w:rFonts w:ascii="黑体" w:hAnsi="黑体" w:eastAsia="黑体"/>
          <w:sz w:val="32"/>
        </w:rPr>
        <w:t>一、摘要和关键词</w:t>
      </w:r>
    </w:p>
    <w:p>
      <w:pPr>
        <w:spacing w:line="440" w:lineRule="exact"/>
        <w:ind w:firstLine="420"/>
      </w:pPr>
      <w:r>
        <w:rPr>
          <w:rFonts w:ascii="宋体" w:hAnsi="宋体" w:eastAsia="宋体"/>
          <w:b/>
          <w:sz w:val="24"/>
        </w:rPr>
        <w:t>【摘要】</w:t>
      </w:r>
      <w:r>
        <w:rPr>
          <w:rFonts w:ascii="宋体" w:hAnsi="宋体" w:eastAsia="宋体"/>
          <w:sz w:val="24"/>
        </w:rPr>
        <w:t>2024年12月，上海大学钱伟长图书馆入选上海市第二批"大思政课"实践教学基地。本案例以该图书馆为研究对象，从场馆资源的育人转化、科学家精神的时代传承、"大思政课"的空间建构三个维度展开分析，探讨图书馆从藏书空间到思政课堂的功能蜕变逻辑，揭示沉浸式体验与课程化教学协同推进的育人机制，为高校场馆资源的思政化开发提供理论参照与实践路径。</w:t>
      </w:r>
    </w:p>
    <w:p>
      <w:pPr>
        <w:spacing w:line="440" w:lineRule="exact"/>
        <w:ind w:firstLine="420"/>
      </w:pPr>
      <w:r>
        <w:rPr>
          <w:rFonts w:ascii="宋体" w:hAnsi="宋体" w:eastAsia="宋体"/>
          <w:b/>
          <w:sz w:val="24"/>
        </w:rPr>
        <w:t>【关键词】</w:t>
      </w:r>
      <w:r>
        <w:rPr>
          <w:rFonts w:ascii="宋体" w:hAnsi="宋体" w:eastAsia="宋体"/>
          <w:sz w:val="24"/>
        </w:rPr>
        <w:t>科学家精神；大思政课；场馆育人；钱伟长</w:t>
      </w:r>
    </w:p>
    <w:p>
      <w:pPr>
        <w:pStyle w:val="Heading1"/>
      </w:pPr>
      <w:r>
        <w:rPr>
          <w:rFonts w:ascii="黑体" w:hAnsi="黑体" w:eastAsia="黑体"/>
          <w:sz w:val="32"/>
        </w:rPr>
        <w:t>二、案例背景</w:t>
      </w:r>
    </w:p>
    <w:p>
      <w:pPr>
        <w:spacing w:line="440" w:lineRule="exact" w:after="80"/>
        <w:ind w:firstLine="420"/>
      </w:pPr>
      <w:r>
        <w:rPr>
          <w:rFonts w:ascii="宋体" w:hAnsi="宋体" w:eastAsia="宋体"/>
          <w:sz w:val="24"/>
        </w:rPr>
        <w:t>习近平总书记强调"科学家精神是科技工作者在长期科学实践中积累的宝贵精神财富"。2022年，中办、国办印发《关于进一步弘扬科学家精神加强作风和学风建设的意见》，将科学家精神纳入新时代精神文明建设体系。上海大学钱伟长图书馆自2019年5月建成开放以来，先后获评全国首批科学家精神教育基地、上海市爱国主义教育基地、民盟中央传统教育基地等殊荣。2024年12月，该馆入选上海市第二批"大思政课"实践教学基地，标志着其从学术场馆向思政教育阵地的功能转型进入新阶段。钱伟长先生弃文从理、科学报国的人生选择，为该馆赋予了独特的精神内核。</w:t>
      </w:r>
    </w:p>
    <w:p>
      <w:pPr>
        <w:pStyle w:val="Heading1"/>
      </w:pPr>
      <w:r>
        <w:rPr>
          <w:rFonts w:ascii="黑体" w:hAnsi="黑体" w:eastAsia="黑体"/>
          <w:sz w:val="32"/>
        </w:rPr>
        <w:t>三、核心挑战</w:t>
      </w:r>
    </w:p>
    <w:p>
      <w:pPr>
        <w:spacing w:line="440" w:lineRule="exact" w:after="80"/>
        <w:ind w:firstLine="420"/>
      </w:pPr>
      <w:r>
        <w:rPr>
          <w:rFonts w:ascii="宋体" w:hAnsi="宋体" w:eastAsia="宋体"/>
          <w:sz w:val="24"/>
        </w:rPr>
        <w:t>一是场馆资源的思政转化难题。图书馆本质上是以藏书、阅览为核心功能的学术空间，如何将其物理空间转化为具有价值引领功能的育人场域，需要突破"展示即教育"的浅层思维。二是科学家精神的当代诠释困境。钱伟长先生的科学贡献与家国情怀具有特定历史语境，如何将其精神内核与新时代大学生的价值需求建立有效联结，避免"怀旧式"纪念而实现"活化式"传承，是核心难题。三是协同育人机制的整合挑战。图书馆、博物馆、档案馆、研工部等多部门的跨界协同，需要打破条块分割的管理壁垒，构建一体化的育人共同体。</w:t>
      </w:r>
    </w:p>
    <w:p>
      <w:pPr>
        <w:pStyle w:val="Heading1"/>
      </w:pPr>
      <w:r>
        <w:rPr>
          <w:rFonts w:ascii="黑体" w:hAnsi="黑体" w:eastAsia="黑体"/>
          <w:sz w:val="32"/>
        </w:rPr>
        <w:t>四、机遇与挑战</w:t>
      </w:r>
    </w:p>
    <w:p>
      <w:pPr>
        <w:spacing w:line="440" w:lineRule="exact" w:after="80"/>
        <w:ind w:firstLine="420"/>
      </w:pPr>
      <w:r>
        <w:rPr>
          <w:rFonts w:ascii="宋体" w:hAnsi="宋体" w:eastAsia="宋体"/>
          <w:sz w:val="24"/>
        </w:rPr>
        <w:t>从发展机遇看，"大思政课"建设的全国推进为高校场馆的思政化开发提供了政策依据与制度保障；数字技术的应用为沉浸式体验创造了技术条件；上海市"大思政课"实践教学基地的评选为校际资源共享搭建了平台。从现实挑战看，场馆育人的成效评估缺乏科学指标体系，容易陷入"有场景无教育"的形式化困境；同时，不同学段、不同专业学生的接受差异，要求育人方案具有高度的差异化设计能力。</w:t>
      </w:r>
    </w:p>
    <w:p>
      <w:pPr>
        <w:pStyle w:val="Heading1"/>
      </w:pPr>
      <w:r>
        <w:rPr>
          <w:rFonts w:ascii="黑体" w:hAnsi="黑体" w:eastAsia="黑体"/>
          <w:sz w:val="32"/>
        </w:rPr>
        <w:t>五、成效与影响</w:t>
      </w:r>
    </w:p>
    <w:p>
      <w:pPr>
        <w:spacing w:line="440" w:lineRule="exact" w:after="80"/>
        <w:ind w:firstLine="420"/>
      </w:pPr>
      <w:r>
        <w:rPr>
          <w:rFonts w:ascii="宋体" w:hAnsi="宋体" w:eastAsia="宋体"/>
          <w:sz w:val="24"/>
        </w:rPr>
        <w:t>钱伟长图书馆的"大思政课"建设取得了显著成效：荣誉层面，先后获得全国首批科学家精神教育基地、上海市爱国主义教育基地等6项认定；课程层面，开设《走进科学家书房》等特色课程，将抽象价值转化为可触摸的书房、可聆听的故事；活动层面，通过主题展览、主题图书出版、各类主题活动构建了多维育人矩阵。该案例的示范意义在于：场馆育人的有效性取决于"空间—内容—体验"三位一体的系统设计——空间是载体，内容是核心，体验是路径，三者协同方能实现从"参观"到"内化"的价值跃迁。</w:t>
      </w:r>
    </w:p>
    <w:p>
      <w:pPr>
        <w:pStyle w:val="Heading1"/>
      </w:pPr>
      <w:r>
        <w:rPr>
          <w:rFonts w:ascii="黑体" w:hAnsi="黑体" w:eastAsia="黑体"/>
          <w:sz w:val="32"/>
        </w:rPr>
        <w:t>六、案例总结</w:t>
      </w:r>
    </w:p>
    <w:p>
      <w:pPr>
        <w:spacing w:line="440" w:lineRule="exact" w:after="80"/>
        <w:ind w:firstLine="420"/>
      </w:pPr>
      <w:r>
        <w:rPr>
          <w:rFonts w:ascii="宋体" w:hAnsi="宋体" w:eastAsia="宋体"/>
          <w:sz w:val="24"/>
        </w:rPr>
        <w:t>钱伟长图书馆从学术殿堂到"大思政课"实践教学基地的蜕变，是高校场馆资源思政化开发的典型样本。该案例表明，科学家精神的传承需要"三重转化"：物理空间的育人转化——让"每一面墙壁都会说话"；历史记忆的当代转化——让先辈精神与时代命题对话；个体体验的价值转化——让参观者从旁观者变为精神传承的参与者。习近平总书记指出，"科学家精神是科技工作者在长期科学实践中积累的宝贵精神财富"。从钱伟长先生的弃文从理到当代学子的科技报国，这一案例为理解新时代"大思政课"的空间建构与价值传递提供了实践参照。</w:t>
      </w:r>
    </w:p>
    <w:p>
      <w:pPr>
        <w:pStyle w:val="Heading1"/>
      </w:pPr>
      <w:r>
        <w:rPr>
          <w:rFonts w:ascii="黑体" w:hAnsi="黑体" w:eastAsia="黑体"/>
          <w:sz w:val="32"/>
        </w:rPr>
        <w:t>附录</w:t>
      </w:r>
    </w:p>
    <w:p>
      <w:pPr>
        <w:spacing w:line="440" w:lineRule="exact" w:after="80"/>
      </w:pPr>
      <w:r>
        <w:rPr>
          <w:rFonts w:ascii="宋体" w:hAnsi="宋体" w:eastAsia="宋体"/>
          <w:sz w:val="24"/>
        </w:rPr>
        <w:t>素材来源：上海大学官方微信公众号（2024年12月8日），链接：http://mp.weixin.qq.com/s?__biz=MzA3MzU5NTE1OA==&amp;mid=2806880811&amp;idx=1&amp;sn=4cb9235ba6d698d57f8bdf5874155ff2</w:t>
      </w:r>
    </w:p>
    <w:p>
      <w:pPr>
        <w:spacing w:line="440" w:lineRule="exact" w:after="80"/>
      </w:pPr>
      <w:r>
        <w:rPr>
          <w:rFonts w:ascii="宋体" w:hAnsi="宋体" w:eastAsia="宋体"/>
          <w:sz w:val="24"/>
        </w:rPr>
        <w:t>参考文献：[1] 习近平. 在科学家座谈会上的讲话[N]. 人民日报，2020-09-12.</w:t>
      </w:r>
    </w:p>
    <w:p>
      <w:pPr>
        <w:spacing w:line="440" w:lineRule="exact" w:after="80"/>
      </w:pPr>
      <w:r>
        <w:rPr>
          <w:rFonts w:ascii="宋体" w:hAnsi="宋体" w:eastAsia="宋体"/>
          <w:sz w:val="24"/>
        </w:rPr>
        <w:t>[2] 中办、国办. 关于进一步弘扬科学家精神加强作风和学风建设的意见[Z]. 2022.</w:t>
      </w:r>
    </w:p>
    <w:p>
      <w:pPr>
        <w:spacing w:line="440" w:lineRule="exact" w:after="80"/>
      </w:pPr>
      <w:r>
        <w:rPr>
          <w:rFonts w:ascii="宋体" w:hAnsi="宋体" w:eastAsia="宋体"/>
          <w:sz w:val="24"/>
        </w:rPr>
        <w:t>[3] 教育部等十部门. 全面推进"大思政课"建设的工作方案[Z]. 2022.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