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微电子赋能生物医药——中瑞先进技术研究院的科教融合实践</w:t>
      </w:r>
    </w:p>
    <w:p>
      <w:pPr>
        <w:pStyle w:val="Heading2"/>
      </w:pPr>
      <w:r>
        <w:rPr>
          <w:rFonts w:ascii="黑体" w:hAnsi="黑体" w:eastAsia="黑体"/>
          <w:sz w:val="28"/>
        </w:rPr>
        <w:t>案例信息卡</w:t>
      </w:r>
    </w:p>
    <w:tbl>
      <w:tblPr>
        <w:tblStyle w:val="TableGrid"/>
        <w:tblW w:type="auto" w:w="0"/>
        <w:tblLayout w:type="autofit"/>
        <w:tblLook w:firstColumn="1" w:firstRow="1" w:lastColumn="0" w:lastRow="0" w:noHBand="0" w:noVBand="1" w:val="04A0"/>
      </w:tblPr>
      <w:tblGrid>
        <w:gridCol w:w="4323"/>
        <w:gridCol w:w="4323"/>
      </w:tblGrid>
      <w:tr>
        <w:tc>
          <w:tcPr>
            <w:tcW w:type="dxa" w:w="1984"/>
            <w:shd w:fill="D9E2F3" w:val="clear"/>
          </w:tcPr>
          <w:p>
            <w:pPr>
              <w:jc w:val="center"/>
            </w:pPr>
            <w:r>
              <w:rPr>
                <w:rFonts w:ascii="宋体" w:hAnsi="宋体" w:eastAsia="宋体"/>
                <w:b/>
                <w:sz w:val="22"/>
              </w:rPr>
              <w:t>案例题目</w:t>
            </w:r>
          </w:p>
        </w:tc>
        <w:tc>
          <w:tcPr>
            <w:tcW w:type="dxa" w:w="7370"/>
          </w:tcPr>
          <w:p>
            <w:r>
              <w:rPr>
                <w:rFonts w:ascii="宋体" w:hAnsi="宋体" w:eastAsia="宋体"/>
                <w:sz w:val="22"/>
              </w:rPr>
              <w:t>微电子赋能生物医药——中瑞先进技术研究院的科教融合实践</w:t>
            </w:r>
          </w:p>
        </w:tc>
      </w:tr>
      <w:tr>
        <w:tc>
          <w:tcPr>
            <w:tcW w:type="dxa" w:w="1984"/>
            <w:shd w:fill="D9E2F3" w:val="clear"/>
          </w:tcPr>
          <w:p>
            <w:pPr>
              <w:jc w:val="center"/>
            </w:pPr>
            <w:r>
              <w:rPr>
                <w:rFonts w:ascii="宋体" w:hAnsi="宋体" w:eastAsia="宋体"/>
                <w:b/>
                <w:sz w:val="22"/>
              </w:rPr>
              <w:t>作者</w:t>
            </w:r>
          </w:p>
        </w:tc>
        <w:tc>
          <w:tcPr>
            <w:tcW w:type="dxa" w:w="7370"/>
          </w:tcPr>
          <w:p>
            <w:r>
              <w:rPr>
                <w:rFonts w:ascii="宋体" w:hAnsi="宋体" w:eastAsia="宋体"/>
                <w:sz w:val="22"/>
              </w:rPr>
              <w:t>上海大学"强国有我"思政案例库课题组</w:t>
            </w:r>
          </w:p>
        </w:tc>
      </w:tr>
      <w:tr>
        <w:tc>
          <w:tcPr>
            <w:tcW w:type="dxa" w:w="1984"/>
            <w:shd w:fill="D9E2F3" w:val="clear"/>
          </w:tcPr>
          <w:p>
            <w:pPr>
              <w:jc w:val="center"/>
            </w:pPr>
            <w:r>
              <w:rPr>
                <w:rFonts w:ascii="宋体" w:hAnsi="宋体" w:eastAsia="宋体"/>
                <w:b/>
                <w:sz w:val="22"/>
              </w:rPr>
              <w:t>报送单位</w:t>
            </w:r>
          </w:p>
        </w:tc>
        <w:tc>
          <w:tcPr>
            <w:tcW w:type="dxa" w:w="7370"/>
          </w:tcPr>
          <w:p>
            <w:r>
              <w:rPr>
                <w:rFonts w:ascii="宋体" w:hAnsi="宋体" w:eastAsia="宋体"/>
                <w:sz w:val="22"/>
              </w:rPr>
              <w:t>上海大学</w:t>
            </w:r>
          </w:p>
        </w:tc>
      </w:tr>
      <w:tr>
        <w:tc>
          <w:tcPr>
            <w:tcW w:type="dxa" w:w="1984"/>
            <w:shd w:fill="D9E2F3" w:val="clear"/>
          </w:tcPr>
          <w:p>
            <w:pPr>
              <w:jc w:val="center"/>
            </w:pPr>
            <w:r>
              <w:rPr>
                <w:rFonts w:ascii="宋体" w:hAnsi="宋体" w:eastAsia="宋体"/>
                <w:b/>
                <w:sz w:val="22"/>
              </w:rPr>
              <w:t>学段</w:t>
            </w:r>
          </w:p>
        </w:tc>
        <w:tc>
          <w:tcPr>
            <w:tcW w:type="dxa" w:w="7370"/>
          </w:tcPr>
          <w:p>
            <w:r>
              <w:rPr>
                <w:rFonts w:ascii="宋体" w:hAnsi="宋体" w:eastAsia="宋体"/>
                <w:sz w:val="22"/>
              </w:rPr>
              <w:t>本科高年级及研究生</w:t>
            </w:r>
          </w:p>
        </w:tc>
      </w:tr>
      <w:tr>
        <w:tc>
          <w:tcPr>
            <w:tcW w:type="dxa" w:w="1984"/>
            <w:shd w:fill="D9E2F3" w:val="clear"/>
          </w:tcPr>
          <w:p>
            <w:pPr>
              <w:jc w:val="center"/>
            </w:pPr>
            <w:r>
              <w:rPr>
                <w:rFonts w:ascii="宋体" w:hAnsi="宋体" w:eastAsia="宋体"/>
                <w:b/>
                <w:sz w:val="22"/>
              </w:rPr>
              <w:t>应用课程</w:t>
            </w:r>
          </w:p>
        </w:tc>
        <w:tc>
          <w:tcPr>
            <w:tcW w:type="dxa" w:w="7370"/>
          </w:tcPr>
          <w:p>
            <w:r>
              <w:rPr>
                <w:rFonts w:ascii="宋体" w:hAnsi="宋体" w:eastAsia="宋体"/>
                <w:sz w:val="22"/>
              </w:rPr>
              <w:t>微电子科学与工程导论、集成电路工艺基础、科研实践与创新</w:t>
            </w:r>
          </w:p>
        </w:tc>
      </w:tr>
      <w:tr>
        <w:tc>
          <w:tcPr>
            <w:tcW w:type="dxa" w:w="1984"/>
            <w:shd w:fill="D9E2F3" w:val="clear"/>
          </w:tcPr>
          <w:p>
            <w:pPr>
              <w:jc w:val="center"/>
            </w:pPr>
            <w:r>
              <w:rPr>
                <w:rFonts w:ascii="宋体" w:hAnsi="宋体" w:eastAsia="宋体"/>
                <w:b/>
                <w:sz w:val="22"/>
              </w:rPr>
              <w:t>理论知识点</w:t>
            </w:r>
          </w:p>
        </w:tc>
        <w:tc>
          <w:tcPr>
            <w:tcW w:type="dxa" w:w="7370"/>
          </w:tcPr>
          <w:p>
            <w:r>
              <w:rPr>
                <w:rFonts w:ascii="宋体" w:hAnsi="宋体" w:eastAsia="宋体"/>
                <w:sz w:val="22"/>
              </w:rPr>
              <w:t>科教融合、交叉创新、科技自立自强、国际合作与自主发展</w:t>
            </w:r>
          </w:p>
        </w:tc>
      </w:tr>
      <w:tr>
        <w:tc>
          <w:tcPr>
            <w:tcW w:type="dxa" w:w="1984"/>
            <w:shd w:fill="D9E2F3" w:val="clear"/>
          </w:tcPr>
          <w:p>
            <w:pPr>
              <w:jc w:val="center"/>
            </w:pPr>
            <w:r>
              <w:rPr>
                <w:rFonts w:ascii="宋体" w:hAnsi="宋体" w:eastAsia="宋体"/>
                <w:b/>
                <w:sz w:val="22"/>
              </w:rPr>
              <w:t>案例概述</w:t>
            </w:r>
          </w:p>
        </w:tc>
        <w:tc>
          <w:tcPr>
            <w:tcW w:type="dxa" w:w="7370"/>
          </w:tcPr>
          <w:p>
            <w:r>
              <w:rPr>
                <w:rFonts w:ascii="宋体" w:hAnsi="宋体" w:eastAsia="宋体"/>
                <w:sz w:val="22"/>
              </w:rPr>
              <w:t>本案例以上海大学中瑞先进技术研究院的科教融合实践为素材，呈现了微电子与生物医药交叉创新的探索路径。案例聚焦科教融合的育人机制与交叉创新的价值逻辑，探讨"微电子赋能生物医药"的学科交叉范式，揭示国际合作与自主发展辩证统一的理论内涵与实践价值。</w:t>
            </w:r>
          </w:p>
        </w:tc>
      </w:tr>
    </w:tbl>
    <w:p/>
    <w:p>
      <w:pPr>
        <w:pStyle w:val="Heading1"/>
      </w:pPr>
      <w:r>
        <w:rPr>
          <w:rFonts w:ascii="黑体" w:hAnsi="黑体" w:eastAsia="黑体"/>
          <w:sz w:val="32"/>
        </w:rPr>
        <w:t>一、摘要和关键词</w:t>
      </w:r>
    </w:p>
    <w:p>
      <w:pPr>
        <w:spacing w:line="440" w:lineRule="exact"/>
        <w:ind w:firstLine="420"/>
      </w:pPr>
      <w:r>
        <w:rPr>
          <w:rFonts w:ascii="宋体" w:hAnsi="宋体" w:eastAsia="宋体"/>
          <w:b/>
          <w:sz w:val="24"/>
        </w:rPr>
        <w:t>【摘要】</w:t>
      </w:r>
      <w:r>
        <w:rPr>
          <w:rFonts w:ascii="宋体" w:hAnsi="宋体" w:eastAsia="宋体"/>
          <w:sz w:val="24"/>
        </w:rPr>
        <w:t>上海大学中瑞先进技术研究院以微电子赋能生物医药为方向，探索科教融合与交叉创新的实践路径。本案例以该研究院为研究对象，从微电子与生物医药的交叉逻辑、科教融合的育人机制、国际合作与自主发展的辩证关系三个维度展开分析，探讨学科交叉创新的制度保障与价值引领，为新工科背景下科教融合的深度推进提供理论参照与实践路径。</w:t>
      </w:r>
    </w:p>
    <w:p>
      <w:pPr>
        <w:spacing w:line="440" w:lineRule="exact"/>
        <w:ind w:firstLine="420"/>
      </w:pPr>
      <w:r>
        <w:rPr>
          <w:rFonts w:ascii="宋体" w:hAnsi="宋体" w:eastAsia="宋体"/>
          <w:b/>
          <w:sz w:val="24"/>
        </w:rPr>
        <w:t>【关键词】</w:t>
      </w:r>
      <w:r>
        <w:rPr>
          <w:rFonts w:ascii="宋体" w:hAnsi="宋体" w:eastAsia="宋体"/>
          <w:sz w:val="24"/>
        </w:rPr>
        <w:t>科教融合；交叉创新；微电子；生物医药</w:t>
      </w:r>
    </w:p>
    <w:p>
      <w:pPr>
        <w:pStyle w:val="Heading1"/>
      </w:pPr>
      <w:r>
        <w:rPr>
          <w:rFonts w:ascii="黑体" w:hAnsi="黑体" w:eastAsia="黑体"/>
          <w:sz w:val="32"/>
        </w:rPr>
        <w:t>二、案例背景</w:t>
      </w:r>
    </w:p>
    <w:p>
      <w:pPr>
        <w:spacing w:line="440" w:lineRule="exact" w:after="80"/>
        <w:ind w:firstLine="420"/>
      </w:pPr>
      <w:r>
        <w:rPr>
          <w:rFonts w:ascii="宋体" w:hAnsi="宋体" w:eastAsia="宋体"/>
          <w:sz w:val="24"/>
        </w:rPr>
        <w:t>党的二十大报告提出"加强基础学科、新兴学科、交叉学科建设"的战略要求。学科交叉是当代科技创新的重要趋势，微电子与生物医药的交叉融合代表着信息技术赋能生命科学的前沿方向。上海大学中瑞先进技术研究院依托中瑞两国在微电子与生物医药领域的互补优势，以"微电子赋能生物医药"为核心理念，探索科研与教学深度融合的创新范式。该研究院的建设，既是学校对接国家"交叉学科"战略布局的具体行动，也是国际合作背景下自主创新能力建设的重要实践。</w:t>
      </w:r>
    </w:p>
    <w:p>
      <w:pPr>
        <w:pStyle w:val="Heading1"/>
      </w:pPr>
      <w:r>
        <w:rPr>
          <w:rFonts w:ascii="黑体" w:hAnsi="黑体" w:eastAsia="黑体"/>
          <w:sz w:val="32"/>
        </w:rPr>
        <w:t>三、核心挑战</w:t>
      </w:r>
    </w:p>
    <w:p>
      <w:pPr>
        <w:spacing w:line="440" w:lineRule="exact" w:after="80"/>
        <w:ind w:firstLine="420"/>
      </w:pPr>
      <w:r>
        <w:rPr>
          <w:rFonts w:ascii="宋体" w:hAnsi="宋体" w:eastAsia="宋体"/>
          <w:sz w:val="24"/>
        </w:rPr>
        <w:t>一是学科壁垒的突破难题。微电子与生物医药属于完全不同的学科体系，从研究范式、评价标准到学术话语都存在显著差异，交叉融合需要打破深层的学科文化壁垒。二是科教融合的机制困境。科研与教学在高校中往往分属不同体系，科研偏重成果产出，教学偏重人才培养，两者的评价导向与资源配置逻辑存在结构性张力。三是国际合作与自主发展的平衡。中瑞合作既带来了先进技术与学术资源，也面临技术依赖与自主可控的深层考量，如何在合作中保持自主创新的主体性是战略性问题。</w:t>
      </w:r>
    </w:p>
    <w:p>
      <w:pPr>
        <w:pStyle w:val="Heading1"/>
      </w:pPr>
      <w:r>
        <w:rPr>
          <w:rFonts w:ascii="黑体" w:hAnsi="黑体" w:eastAsia="黑体"/>
          <w:sz w:val="32"/>
        </w:rPr>
        <w:t>四、机遇与挑战</w:t>
      </w:r>
    </w:p>
    <w:p>
      <w:pPr>
        <w:spacing w:line="440" w:lineRule="exact" w:after="80"/>
        <w:ind w:firstLine="420"/>
      </w:pPr>
      <w:r>
        <w:rPr>
          <w:rFonts w:ascii="宋体" w:hAnsi="宋体" w:eastAsia="宋体"/>
          <w:sz w:val="24"/>
        </w:rPr>
        <w:t>从发展机遇看，国家大力推动交叉学科建设与科教融合改革，政策空间持续拓展；微电子技术在医疗影像、生物传感、药物递送等领域的应用前景广阔，为学科交叉提供了丰富的应用场景。从现实挑战看，交叉学科的人才培养体系尚不成熟，课程设置、学位授予、就业通道等环节缺乏制度保障；国际科技合作面临地缘政治风险，技术出口管制与合作限制可能影响合作的深度与持续性。</w:t>
      </w:r>
    </w:p>
    <w:p>
      <w:pPr>
        <w:pStyle w:val="Heading1"/>
      </w:pPr>
      <w:r>
        <w:rPr>
          <w:rFonts w:ascii="黑体" w:hAnsi="黑体" w:eastAsia="黑体"/>
          <w:sz w:val="32"/>
        </w:rPr>
        <w:t>五、成效与影响</w:t>
      </w:r>
    </w:p>
    <w:p>
      <w:pPr>
        <w:spacing w:line="440" w:lineRule="exact" w:after="80"/>
        <w:ind w:firstLine="420"/>
      </w:pPr>
      <w:r>
        <w:rPr>
          <w:rFonts w:ascii="宋体" w:hAnsi="宋体" w:eastAsia="宋体"/>
          <w:sz w:val="24"/>
        </w:rPr>
        <w:t>中瑞先进技术研究院的科教融合实践取得了多维成效：科研层面，在微电子赋能生物医药的交叉方向形成了系列创新成果；育人层面，构建了"科研—教学—实践"三位一体的培养体系，学生在交叉研究中获得了复合型能力的训练；合作层面，建立了中瑞两国在微电子与生物医药领域的长效合作机制。该案例的示范意义在于：交叉创新的有效性取决于"三个打通"——学科壁垒的打通，建立跨学科的交流与协作机制；科教体系的打通，构建科研反哺教学、教学滋养科研的良性循环；国际合作与自主发展的打通，在开放合作中锻造自主创新能力。</w:t>
      </w:r>
    </w:p>
    <w:p>
      <w:pPr>
        <w:pStyle w:val="Heading1"/>
      </w:pPr>
      <w:r>
        <w:rPr>
          <w:rFonts w:ascii="黑体" w:hAnsi="黑体" w:eastAsia="黑体"/>
          <w:sz w:val="32"/>
        </w:rPr>
        <w:t>六、案例总结</w:t>
      </w:r>
    </w:p>
    <w:p>
      <w:pPr>
        <w:spacing w:line="440" w:lineRule="exact" w:after="80"/>
        <w:ind w:firstLine="420"/>
      </w:pPr>
      <w:r>
        <w:rPr>
          <w:rFonts w:ascii="宋体" w:hAnsi="宋体" w:eastAsia="宋体"/>
          <w:sz w:val="24"/>
        </w:rPr>
        <w:t>中瑞先进技术研究院的科教融合实践，是交叉学科建设与科教融合改革在高校层面的具体探索。该案例表明，微电子赋能生物医药的交叉创新需要实现"三重融合"：学科范式的融合——在微电子的"精准控制"与生物医药的"复杂系统"之间寻找方法论桥梁；科研与教学的融合——让前沿研究成为最好的教学内容，让学生成为科研创新的参与力量；国际合作与自主发展的融合——在"引进来"中学习，在"走出去"中超越。习近平总书记强调"加快实现高水平科技自立自强"。从微电子与生物医药的交叉探索到科教融合的深度推进，这一案例为理解新时代交叉学科建设的价值逻辑与实践路径提供了有益参照。</w:t>
      </w:r>
    </w:p>
    <w:p>
      <w:pPr>
        <w:pStyle w:val="Heading1"/>
      </w:pPr>
      <w:r>
        <w:rPr>
          <w:rFonts w:ascii="黑体" w:hAnsi="黑体" w:eastAsia="黑体"/>
          <w:sz w:val="32"/>
        </w:rPr>
        <w:t>附录</w:t>
      </w:r>
    </w:p>
    <w:p>
      <w:pPr>
        <w:spacing w:line="440" w:lineRule="exact" w:after="80"/>
      </w:pPr>
      <w:r>
        <w:rPr>
          <w:rFonts w:ascii="宋体" w:hAnsi="宋体" w:eastAsia="宋体"/>
          <w:sz w:val="24"/>
        </w:rPr>
        <w:t>素材来源：上海大学融媒体中心/微电子学院（2024-07-19），链接：http://mp.weixin.qq.com/s?__biz=MzA3MzU5NTE1OA==&amp;mid=2806869617&amp;idx=1&amp;sn=54c4f8a76532420af273e0f2d0d8cdbc</w:t>
      </w:r>
    </w:p>
    <w:p>
      <w:pPr>
        <w:spacing w:line="440" w:lineRule="exact" w:after="80"/>
      </w:pPr>
      <w:r>
        <w:rPr>
          <w:rFonts w:ascii="宋体" w:hAnsi="宋体" w:eastAsia="宋体"/>
          <w:sz w:val="24"/>
        </w:rPr>
        <w:t>参考文献：[1] 教育部. 关于加强交叉学科建设的意见[Z]. 2022.</w:t>
      </w:r>
    </w:p>
    <w:p>
      <w:pPr>
        <w:spacing w:line="440" w:lineRule="exact" w:after="80"/>
      </w:pPr>
      <w:r>
        <w:rPr>
          <w:rFonts w:ascii="宋体" w:hAnsi="宋体" w:eastAsia="宋体"/>
          <w:sz w:val="24"/>
        </w:rPr>
        <w:t>[2] 国务院. 关于全面加强基础科学研究的若干意见[Z]. 2018.</w:t>
      </w:r>
    </w:p>
    <w:p>
      <w:pPr>
        <w:spacing w:line="440" w:lineRule="exact" w:after="80"/>
      </w:pPr>
      <w:r>
        <w:rPr>
          <w:rFonts w:ascii="宋体" w:hAnsi="宋体" w:eastAsia="宋体"/>
          <w:sz w:val="24"/>
        </w:rPr>
        <w:t>[3] 科技部. 国际科技合作战略规划[Z]. 2023.</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