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工学+医学=？——任新振的"医工交叉"科技报国路</w:t>
      </w:r>
    </w:p>
    <w:p>
      <w:pPr>
        <w:pStyle w:val="Heading2"/>
      </w:pPr>
      <w:r>
        <w:rPr>
          <w:rFonts w:ascii="黑体" w:hAnsi="黑体" w:eastAsia="黑体"/>
          <w:sz w:val="28"/>
        </w:rPr>
        <w:t>案例信息卡</w:t>
      </w:r>
    </w:p>
    <w:tbl>
      <w:tblPr>
        <w:tblStyle w:val="TableGrid"/>
        <w:tblW w:type="auto" w:w="0"/>
        <w:tblLayout w:type="autofit"/>
        <w:tblLook w:firstColumn="1" w:firstRow="1" w:lastColumn="0" w:lastRow="0" w:noHBand="0" w:noVBand="1" w:val="04A0"/>
      </w:tblPr>
      <w:tblGrid>
        <w:gridCol w:w="4323"/>
        <w:gridCol w:w="4323"/>
      </w:tblGrid>
      <w:tr>
        <w:tc>
          <w:tcPr>
            <w:tcW w:type="dxa" w:w="1984"/>
            <w:shd w:fill="D9E2F3" w:val="clear"/>
          </w:tcPr>
          <w:p>
            <w:pPr>
              <w:jc w:val="center"/>
            </w:pPr>
            <w:r>
              <w:rPr>
                <w:rFonts w:ascii="宋体" w:hAnsi="宋体" w:eastAsia="宋体"/>
                <w:b/>
                <w:sz w:val="22"/>
              </w:rPr>
              <w:t>案例题目</w:t>
            </w:r>
          </w:p>
        </w:tc>
        <w:tc>
          <w:tcPr>
            <w:tcW w:type="dxa" w:w="7370"/>
          </w:tcPr>
          <w:p>
            <w:r>
              <w:rPr>
                <w:rFonts w:ascii="宋体" w:hAnsi="宋体" w:eastAsia="宋体"/>
                <w:sz w:val="22"/>
              </w:rPr>
              <w:t>工学+医学=？——任新振的"医工交叉"科技报国路</w:t>
            </w:r>
          </w:p>
        </w:tc>
      </w:tr>
      <w:tr>
        <w:tc>
          <w:tcPr>
            <w:tcW w:type="dxa" w:w="1984"/>
            <w:shd w:fill="D9E2F3" w:val="clear"/>
          </w:tcPr>
          <w:p>
            <w:pPr>
              <w:jc w:val="center"/>
            </w:pPr>
            <w:r>
              <w:rPr>
                <w:rFonts w:ascii="宋体" w:hAnsi="宋体" w:eastAsia="宋体"/>
                <w:b/>
                <w:sz w:val="22"/>
              </w:rPr>
              <w:t>作者</w:t>
            </w:r>
          </w:p>
        </w:tc>
        <w:tc>
          <w:tcPr>
            <w:tcW w:type="dxa" w:w="7370"/>
          </w:tcPr>
          <w:p>
            <w:r>
              <w:rPr>
                <w:rFonts w:ascii="宋体" w:hAnsi="宋体" w:eastAsia="宋体"/>
                <w:sz w:val="22"/>
              </w:rPr>
              <w:t>上海大学"强国有我"思政案例库课题组</w:t>
            </w:r>
          </w:p>
        </w:tc>
      </w:tr>
      <w:tr>
        <w:tc>
          <w:tcPr>
            <w:tcW w:type="dxa" w:w="1984"/>
            <w:shd w:fill="D9E2F3" w:val="clear"/>
          </w:tcPr>
          <w:p>
            <w:pPr>
              <w:jc w:val="center"/>
            </w:pPr>
            <w:r>
              <w:rPr>
                <w:rFonts w:ascii="宋体" w:hAnsi="宋体" w:eastAsia="宋体"/>
                <w:b/>
                <w:sz w:val="22"/>
              </w:rPr>
              <w:t>报送单位</w:t>
            </w:r>
          </w:p>
        </w:tc>
        <w:tc>
          <w:tcPr>
            <w:tcW w:type="dxa" w:w="7370"/>
          </w:tcPr>
          <w:p>
            <w:r>
              <w:rPr>
                <w:rFonts w:ascii="宋体" w:hAnsi="宋体" w:eastAsia="宋体"/>
                <w:sz w:val="22"/>
              </w:rPr>
              <w:t>上海大学</w:t>
            </w:r>
          </w:p>
        </w:tc>
      </w:tr>
      <w:tr>
        <w:tc>
          <w:tcPr>
            <w:tcW w:type="dxa" w:w="1984"/>
            <w:shd w:fill="D9E2F3" w:val="clear"/>
          </w:tcPr>
          <w:p>
            <w:pPr>
              <w:jc w:val="center"/>
            </w:pPr>
            <w:r>
              <w:rPr>
                <w:rFonts w:ascii="宋体" w:hAnsi="宋体" w:eastAsia="宋体"/>
                <w:b/>
                <w:sz w:val="22"/>
              </w:rPr>
              <w:t>学段</w:t>
            </w:r>
          </w:p>
        </w:tc>
        <w:tc>
          <w:tcPr>
            <w:tcW w:type="dxa" w:w="7370"/>
          </w:tcPr>
          <w:p>
            <w:r>
              <w:rPr>
                <w:rFonts w:ascii="宋体" w:hAnsi="宋体" w:eastAsia="宋体"/>
                <w:sz w:val="22"/>
              </w:rPr>
              <w:t>本科及研究生</w:t>
            </w:r>
          </w:p>
        </w:tc>
      </w:tr>
      <w:tr>
        <w:tc>
          <w:tcPr>
            <w:tcW w:type="dxa" w:w="1984"/>
            <w:shd w:fill="D9E2F3" w:val="clear"/>
          </w:tcPr>
          <w:p>
            <w:pPr>
              <w:jc w:val="center"/>
            </w:pPr>
            <w:r>
              <w:rPr>
                <w:rFonts w:ascii="宋体" w:hAnsi="宋体" w:eastAsia="宋体"/>
                <w:b/>
                <w:sz w:val="22"/>
              </w:rPr>
              <w:t>应用课程</w:t>
            </w:r>
          </w:p>
        </w:tc>
        <w:tc>
          <w:tcPr>
            <w:tcW w:type="dxa" w:w="7370"/>
          </w:tcPr>
          <w:p>
            <w:r>
              <w:rPr>
                <w:rFonts w:ascii="宋体" w:hAnsi="宋体" w:eastAsia="宋体"/>
                <w:sz w:val="22"/>
              </w:rPr>
              <w:t>习近平新时代中国特色社会主义思想概论、形势与政策、思想道德与法治</w:t>
            </w:r>
          </w:p>
        </w:tc>
      </w:tr>
      <w:tr>
        <w:tc>
          <w:tcPr>
            <w:tcW w:type="dxa" w:w="1984"/>
            <w:shd w:fill="D9E2F3" w:val="clear"/>
          </w:tcPr>
          <w:p>
            <w:pPr>
              <w:jc w:val="center"/>
            </w:pPr>
            <w:r>
              <w:rPr>
                <w:rFonts w:ascii="宋体" w:hAnsi="宋体" w:eastAsia="宋体"/>
                <w:b/>
                <w:sz w:val="22"/>
              </w:rPr>
              <w:t>理论知识点</w:t>
            </w:r>
          </w:p>
        </w:tc>
        <w:tc>
          <w:tcPr>
            <w:tcW w:type="dxa" w:w="7370"/>
          </w:tcPr>
          <w:p>
            <w:r>
              <w:rPr>
                <w:rFonts w:ascii="宋体" w:hAnsi="宋体" w:eastAsia="宋体"/>
                <w:sz w:val="22"/>
              </w:rPr>
              <w:t>交叉创新、科技报国、健康中国、青年使命</w:t>
            </w:r>
          </w:p>
        </w:tc>
      </w:tr>
      <w:tr>
        <w:tc>
          <w:tcPr>
            <w:tcW w:type="dxa" w:w="1984"/>
            <w:shd w:fill="D9E2F3" w:val="clear"/>
          </w:tcPr>
          <w:p>
            <w:pPr>
              <w:jc w:val="center"/>
            </w:pPr>
            <w:r>
              <w:rPr>
                <w:rFonts w:ascii="宋体" w:hAnsi="宋体" w:eastAsia="宋体"/>
                <w:b/>
                <w:sz w:val="22"/>
              </w:rPr>
              <w:t>案例概述</w:t>
            </w:r>
          </w:p>
        </w:tc>
        <w:tc>
          <w:tcPr>
            <w:tcW w:type="dxa" w:w="7370"/>
          </w:tcPr>
          <w:p>
            <w:r>
              <w:rPr>
                <w:rFonts w:ascii="宋体" w:hAnsi="宋体" w:eastAsia="宋体"/>
                <w:sz w:val="22"/>
              </w:rPr>
              <w:t>本案例以上海大学青年学者任新振在医工交叉领域的创新实践为素材，呈现了一位工学背景研究者跨界进入医学领域的科技报国之路。案例聚焦"医工交叉"的学科创新逻辑与科技报国的价值选择，探讨青年科学家在交叉领域开拓新航路的勇气与智慧，揭示学科交叉服务人民健康的深层价值逻辑。</w:t>
            </w:r>
          </w:p>
        </w:tc>
      </w:tr>
    </w:tbl>
    <w:p/>
    <w:p>
      <w:pPr>
        <w:pStyle w:val="Heading1"/>
      </w:pPr>
      <w:r>
        <w:rPr>
          <w:rFonts w:ascii="黑体" w:hAnsi="黑体" w:eastAsia="黑体"/>
          <w:sz w:val="32"/>
        </w:rPr>
        <w:t>一、摘要和关键词</w:t>
      </w:r>
    </w:p>
    <w:p>
      <w:pPr>
        <w:spacing w:line="440" w:lineRule="exact"/>
        <w:ind w:firstLine="420"/>
      </w:pPr>
      <w:r>
        <w:rPr>
          <w:rFonts w:ascii="宋体" w:hAnsi="宋体" w:eastAsia="宋体"/>
          <w:b/>
          <w:sz w:val="24"/>
        </w:rPr>
        <w:t>【摘要】</w:t>
      </w:r>
      <w:r>
        <w:rPr>
          <w:rFonts w:ascii="宋体" w:hAnsi="宋体" w:eastAsia="宋体"/>
          <w:sz w:val="24"/>
        </w:rPr>
        <w:t>上海大学青年学者任新振以工学背景跨界进入医学领域，在医工交叉方向探索科技报国的新路径。本案例以其创新实践为研究对象，从医工交叉的学科创新逻辑、青年科学家的跨界勇气与价值选择、学科交叉服务人民健康的实践路径三个维度展开分析，探讨交叉创新的时代价值与青年担当，为理解新时代科技报国的多元路径提供实践参照。</w:t>
      </w:r>
    </w:p>
    <w:p>
      <w:pPr>
        <w:spacing w:line="440" w:lineRule="exact"/>
        <w:ind w:firstLine="420"/>
      </w:pPr>
      <w:r>
        <w:rPr>
          <w:rFonts w:ascii="宋体" w:hAnsi="宋体" w:eastAsia="宋体"/>
          <w:b/>
          <w:sz w:val="24"/>
        </w:rPr>
        <w:t>【关键词】</w:t>
      </w:r>
      <w:r>
        <w:rPr>
          <w:rFonts w:ascii="宋体" w:hAnsi="宋体" w:eastAsia="宋体"/>
          <w:sz w:val="24"/>
        </w:rPr>
        <w:t>医工交叉；科技报国；青年科学家；学科交叉</w:t>
      </w:r>
    </w:p>
    <w:p>
      <w:pPr>
        <w:pStyle w:val="Heading1"/>
      </w:pPr>
      <w:r>
        <w:rPr>
          <w:rFonts w:ascii="黑体" w:hAnsi="黑体" w:eastAsia="黑体"/>
          <w:sz w:val="32"/>
        </w:rPr>
        <w:t>二、案例背景</w:t>
      </w:r>
    </w:p>
    <w:p>
      <w:pPr>
        <w:spacing w:line="440" w:lineRule="exact" w:after="80"/>
        <w:ind w:firstLine="420"/>
      </w:pPr>
      <w:r>
        <w:rPr>
          <w:rFonts w:ascii="宋体" w:hAnsi="宋体" w:eastAsia="宋体"/>
          <w:sz w:val="24"/>
        </w:rPr>
        <w:t>党的二十大报告提出"加强交叉学科建设"与"推进健康中国建设"的双重战略要求。医工交叉是当代科技创新的前沿方向——从智能手术机器人到可穿戴医疗设备，从医学影像AI到生物3D打印，工程技术正在深度重塑医疗实践。然而，医工交叉不是简单的"工学+医学"，而是两个学科体系在方法论、评价标准、学术文化层面的深层融合，其难度远超一般的学科合作。上海大学任新振以工学背景勇闯医学领域，在医工交叉的"无人区"中开辟新航路，其经历是青年科技工作者跨界创新的典型样本。</w:t>
      </w:r>
    </w:p>
    <w:p>
      <w:pPr>
        <w:pStyle w:val="Heading1"/>
      </w:pPr>
      <w:r>
        <w:rPr>
          <w:rFonts w:ascii="黑体" w:hAnsi="黑体" w:eastAsia="黑体"/>
          <w:sz w:val="32"/>
        </w:rPr>
        <w:t>三、核心挑战</w:t>
      </w:r>
    </w:p>
    <w:p>
      <w:pPr>
        <w:spacing w:line="440" w:lineRule="exact" w:after="80"/>
        <w:ind w:firstLine="420"/>
      </w:pPr>
      <w:r>
        <w:rPr>
          <w:rFonts w:ascii="宋体" w:hAnsi="宋体" w:eastAsia="宋体"/>
          <w:sz w:val="24"/>
        </w:rPr>
        <w:t>一是学科跨越的认知壁垒。工学思维强调可控性与精确性，医学思维强调个体差异与复杂性，两种思维方式的碰撞与融合需要长期磨合。二是交叉研究的评价困境。医工交叉成果在传统学科评价体系中往往"两边不靠"——工学评价重视理论深度，医学评价重视临床验证，交叉成果难以获得充分认可。三是跨界创新的资源约束。医工交叉需要同时具备工科实验条件与医学临床资源，资源获取的难度远高于单一学科研究。</w:t>
      </w:r>
    </w:p>
    <w:p>
      <w:pPr>
        <w:pStyle w:val="Heading1"/>
      </w:pPr>
      <w:r>
        <w:rPr>
          <w:rFonts w:ascii="黑体" w:hAnsi="黑体" w:eastAsia="黑体"/>
          <w:sz w:val="32"/>
        </w:rPr>
        <w:t>四、机遇与挑战</w:t>
      </w:r>
    </w:p>
    <w:p>
      <w:pPr>
        <w:spacing w:line="440" w:lineRule="exact" w:after="80"/>
        <w:ind w:firstLine="420"/>
      </w:pPr>
      <w:r>
        <w:rPr>
          <w:rFonts w:ascii="宋体" w:hAnsi="宋体" w:eastAsia="宋体"/>
          <w:sz w:val="24"/>
        </w:rPr>
        <w:t>从发展机遇看，国家对交叉学科的政策支持力度持续加大，为医工交叉研究提供了制度保障；医疗器械国产化替代的迫切需求，为工学研究者进入医学领域提供了广阔的应用空间；上海大学医工交叉学科群的布局为研究者提供了平台支撑。从现实挑战看，医工交叉的成果转化周期长，短期产出难以满足现行评价体系要求；临床准入的高门槛使工科研究者的医学验证面临额外障碍。</w:t>
      </w:r>
    </w:p>
    <w:p>
      <w:pPr>
        <w:pStyle w:val="Heading1"/>
      </w:pPr>
      <w:r>
        <w:rPr>
          <w:rFonts w:ascii="黑体" w:hAnsi="黑体" w:eastAsia="黑体"/>
          <w:sz w:val="32"/>
        </w:rPr>
        <w:t>五、成效与影响</w:t>
      </w:r>
    </w:p>
    <w:p>
      <w:pPr>
        <w:spacing w:line="440" w:lineRule="exact" w:after="80"/>
        <w:ind w:firstLine="420"/>
      </w:pPr>
      <w:r>
        <w:rPr>
          <w:rFonts w:ascii="宋体" w:hAnsi="宋体" w:eastAsia="宋体"/>
          <w:sz w:val="24"/>
        </w:rPr>
        <w:t>任新振在医工交叉领域的创新实践取得了积极进展：学术层面，在工学与医学的交叉地带形成了独特的研究方向与方法论；育人层面，为医工交叉方向的研究生培养提供了可借鉴的指导经验；社会层面，其研究成果为医疗技术的精准化、智能化提供了工程学支撑。该案例的示范意义在于：科技报国的路径是多元的——不仅有"从0到1"的原始创新，更有"跨界融合"的集成创新；交叉创新的勇气与坚持，本身就是新时代青年科学家精神的生动诠释。</w:t>
      </w:r>
    </w:p>
    <w:p>
      <w:pPr>
        <w:pStyle w:val="Heading1"/>
      </w:pPr>
      <w:r>
        <w:rPr>
          <w:rFonts w:ascii="黑体" w:hAnsi="黑体" w:eastAsia="黑体"/>
          <w:sz w:val="32"/>
        </w:rPr>
        <w:t>六、案例总结</w:t>
      </w:r>
    </w:p>
    <w:p>
      <w:pPr>
        <w:spacing w:line="440" w:lineRule="exact" w:after="80"/>
        <w:ind w:firstLine="420"/>
      </w:pPr>
      <w:r>
        <w:rPr>
          <w:rFonts w:ascii="宋体" w:hAnsi="宋体" w:eastAsia="宋体"/>
          <w:sz w:val="24"/>
        </w:rPr>
        <w:t>任新振的"医工交叉"科技报国之路，是交叉学科建设与"健康中国"战略在青年科学家身上的交汇。该案例表明，医工交叉创新需要实现"三重跨越"：认知跨越——从学科"壁垒思维"到"桥梁思维"；评价跨越——从单一学科标准到交叉学科标准；资源跨越——从学科内循环到跨界协同。习近平总书记强调"青年一代有理想、有本领、有担当，国家就有前途，民族就有希望"。从工学到医学的跨界探索到服务人民健康的价值坚守，这一案例为理解新时代青年科学家的使命担当与价值选择提供了鲜活注脚。</w:t>
      </w:r>
    </w:p>
    <w:p>
      <w:pPr>
        <w:pStyle w:val="Heading1"/>
      </w:pPr>
      <w:r>
        <w:rPr>
          <w:rFonts w:ascii="黑体" w:hAnsi="黑体" w:eastAsia="黑体"/>
          <w:sz w:val="32"/>
        </w:rPr>
        <w:t>附录</w:t>
      </w:r>
    </w:p>
    <w:p>
      <w:pPr>
        <w:spacing w:line="440" w:lineRule="exact" w:after="80"/>
      </w:pPr>
      <w:r>
        <w:rPr>
          <w:rFonts w:ascii="宋体" w:hAnsi="宋体" w:eastAsia="宋体"/>
          <w:sz w:val="24"/>
        </w:rPr>
        <w:t>素材来源：上海大学党委研究生工作部（2024年9月），链接：http://mp.weixin.qq.com/s?__biz=MzA3MzU5NTE1OA==&amp;mid=2806873771&amp;idx=1&amp;sn=58eb18a080f3235fee34ab9c6475fd18</w:t>
      </w:r>
    </w:p>
    <w:p>
      <w:pPr>
        <w:spacing w:line="440" w:lineRule="exact" w:after="80"/>
      </w:pPr>
      <w:r>
        <w:rPr>
          <w:rFonts w:ascii="宋体" w:hAnsi="宋体" w:eastAsia="宋体"/>
          <w:sz w:val="24"/>
        </w:rPr>
        <w:t>参考文献：[1] 习近平. 在科学家座谈会上的讲话[N]. 人民日报，2020-09-12.</w:t>
      </w:r>
    </w:p>
    <w:p>
      <w:pPr>
        <w:spacing w:line="440" w:lineRule="exact" w:after="80"/>
      </w:pPr>
      <w:r>
        <w:rPr>
          <w:rFonts w:ascii="宋体" w:hAnsi="宋体" w:eastAsia="宋体"/>
          <w:sz w:val="24"/>
        </w:rPr>
        <w:t>[2] 教育部. 关于加强交叉学科建设的意见[Z]. 2022.</w:t>
      </w:r>
    </w:p>
    <w:p>
      <w:pPr>
        <w:spacing w:line="440" w:lineRule="exact" w:after="80"/>
      </w:pPr>
      <w:r>
        <w:rPr>
          <w:rFonts w:ascii="宋体" w:hAnsi="宋体" w:eastAsia="宋体"/>
          <w:sz w:val="24"/>
        </w:rPr>
        <w:t>[3] 国务院. 关于全面加强基础科学研究的若干意见[Z].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