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ta-recording-sheet"/>
    <w:p>
      <w:pPr>
        <w:pStyle w:val="Heading1"/>
      </w:pPr>
      <w:r>
        <w:t xml:space="preserve">Data Recording Sheet</w:t>
      </w:r>
    </w:p>
    <w:p>
      <w:pPr>
        <w:pStyle w:val="FirstParagraph"/>
      </w:pPr>
      <w:r>
        <w:rPr>
          <w:b/>
          <w:bCs/>
        </w:rPr>
        <w:t xml:space="preserve">Group number: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Researcher name: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Start w:id="9" w:name="between-subjects-version"/>
    <w:p>
      <w:pPr>
        <w:pStyle w:val="Heading2"/>
      </w:pPr>
      <w:r>
        <w:t xml:space="preserve">Between-Subjects Version</w:t>
      </w:r>
    </w:p>
    <w:p>
      <w:pPr>
        <w:pStyle w:val="FirstParagraph"/>
      </w:pPr>
      <w:r>
        <w:t xml:space="preserve">[Use this table if your study uses a between-subjects design. Adjust the column headings for your IV and DV.]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Participant 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Condition ([Condition A] / [Condition B])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Gender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[Your DV measure]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ithin-subjects-version"/>
    <w:p>
      <w:pPr>
        <w:pStyle w:val="Heading2"/>
      </w:pPr>
      <w:r>
        <w:t xml:space="preserve">Within-Subjects Version</w:t>
      </w:r>
    </w:p>
    <w:p>
      <w:pPr>
        <w:pStyle w:val="FirstParagraph"/>
      </w:pPr>
      <w:r>
        <w:t xml:space="preserve">[Use this table if your study uses a within-subjects design. Adjust the column headings for your DV in each condition.]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Participant 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Gender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[DV — Condition 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[DV — Condition B]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coring-guide"/>
    <w:p>
      <w:pPr>
        <w:pStyle w:val="Heading2"/>
      </w:pPr>
      <w:r>
        <w:t xml:space="preserve">Scoring Guide</w:t>
      </w:r>
    </w:p>
    <w:p>
      <w:pPr>
        <w:pStyle w:val="FirstParagraph"/>
      </w:pPr>
      <w:r>
        <w:t xml:space="preserve">[Describe how to score your DV. What counts as a correct response? What doesn’t? Be specific so all group members score consistently.]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2026-02-24T20:26:22Z</dcterms:created>
  <dcterms:modified xsi:type="dcterms:W3CDTF">2026-02-24T20:26:22Z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