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0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01:</w:t>
      </w:r>
      <w:r>
        <w:t xml:space="preserve"> </w:t>
      </w:r>
      <w:r>
        <w:t xml:space="preserve"> </w:t>
      </w:r>
      <w:r>
        <w:t xml:space="preserve">Replace</w:t>
      </w:r>
      <w:r>
        <w:t xml:space="preserve"> </w:t>
      </w:r>
      <w:r>
        <w:t xml:space="preserve">it!</w:t>
      </w:r>
    </w:p>
    <w:p>
      <w:pPr>
        <w:pStyle w:val="Subtitle"/>
      </w:pPr>
      <w:r>
        <w:t xml:space="preserve">This</w:t>
      </w:r>
      <w:r>
        <w:t xml:space="preserve"> </w:t>
      </w:r>
      <w:r>
        <w:t xml:space="preserve">is</w:t>
      </w:r>
      <w:r>
        <w:t xml:space="preserve"> </w:t>
      </w:r>
      <w:r>
        <w:t xml:space="preserve">a</w:t>
      </w:r>
      <w:r>
        <w:t xml:space="preserve"> </w:t>
      </w:r>
      <w:r>
        <w:t xml:space="preserve">meaningful</w:t>
      </w:r>
      <w:r>
        <w:t xml:space="preserve"> </w:t>
      </w:r>
      <w:r>
        <w:t xml:space="preserve">subtitle</w:t>
      </w:r>
    </w:p>
    <w:p>
      <w:pPr>
        <w:pStyle w:val="Author"/>
      </w:pPr>
      <w:r>
        <w:t xml:space="preserve">Dr. 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2,</w:t>
      </w:r>
      <w:r>
        <w:t xml:space="preserve"> </w:t>
      </w:r>
      <w:r>
        <w:t xml:space="preserve">2023</w:t>
      </w:r>
    </w:p>
    <w:bookmarkStart w:id="20" w:name="show-attendance-qr-code"/>
    <w:p>
      <w:pPr>
        <w:pStyle w:val="Heading1"/>
      </w:pPr>
      <w:r>
        <w:t xml:space="preserve">Show Attendance QR Code</w:t>
      </w:r>
    </w:p>
    <w:bookmarkEnd w:id="20"/>
    <w:bookmarkStart w:id="43" w:name="heading-1---section-head"/>
    <w:p>
      <w:pPr>
        <w:pStyle w:val="Heading1"/>
      </w:pPr>
      <w:r>
        <w:t xml:space="preserve">Heading 1 - Section Head</w:t>
      </w:r>
    </w:p>
    <w:p>
      <w:pPr>
        <w:pStyle w:val="FirstParagraph"/>
      </w:pPr>
      <w:r>
        <w:t xml:space="preserve">This is a subtitle to the section header</w:t>
      </w:r>
    </w:p>
    <w:bookmarkStart w:id="22" w:name="heading-2---new-slide-title"/>
    <w:p>
      <w:pPr>
        <w:pStyle w:val="Heading2"/>
      </w:pPr>
      <w:r>
        <w:t xml:space="preserve">Heading 2 - new slide title</w:t>
      </w:r>
    </w:p>
    <w:p>
      <w:pPr>
        <w:pStyle w:val="FirstParagraph"/>
      </w:pPr>
      <w:r>
        <w:t xml:space="preserve">Heading 2 copy</w:t>
      </w:r>
    </w:p>
    <w:bookmarkStart w:id="21" w:name="heading-3---italic-emphasis"/>
    <w:p>
      <w:pPr>
        <w:pStyle w:val="Heading3"/>
      </w:pPr>
      <w:r>
        <w:t xml:space="preserve">Heading 3 - italic emphasis</w:t>
      </w:r>
    </w:p>
    <w:bookmarkEnd w:id="21"/>
    <w:bookmarkEnd w:id="22"/>
    <w:bookmarkStart w:id="23" w:name="X7214d3288ef5dd81e38f49dd9745890f15e07a7"/>
    <w:p>
      <w:pPr>
        <w:pStyle w:val="Heading2"/>
      </w:pPr>
      <w:r>
        <w:t xml:space="preserve">Spans for text accentuation - available in source mode</w:t>
      </w:r>
    </w:p>
    <w:p>
      <w:pPr>
        <w:pStyle w:val="FirstParagraph"/>
      </w:pPr>
      <w:r>
        <w:t xml:space="preserve">.shout</w:t>
      </w:r>
      <w:r>
        <w:t xml:space="preserve"> </w:t>
      </w:r>
      <w:r>
        <w:t xml:space="preserve">accent3(red) 1.5em and Bold</w:t>
      </w:r>
    </w:p>
    <w:p>
      <w:pPr>
        <w:pStyle w:val="BodyText"/>
      </w:pPr>
      <w:r>
        <w:t xml:space="preserve">.alert</w:t>
      </w:r>
      <w:r>
        <w:t xml:space="preserve"> </w:t>
      </w:r>
      <w:r>
        <w:t xml:space="preserve">accent3(red) no change to font size</w:t>
      </w:r>
    </w:p>
    <w:p>
      <w:pPr>
        <w:pStyle w:val="BodyText"/>
      </w:pPr>
      <w:r>
        <w:t xml:space="preserve">.fg</w:t>
      </w:r>
      <w:r>
        <w:t xml:space="preserve"> </w:t>
      </w:r>
      <w:r>
        <w:t xml:space="preserve">.bg</w:t>
      </w:r>
    </w:p>
    <w:p>
      <w:pPr>
        <w:pStyle w:val="BodyText"/>
      </w:pPr>
      <w:r>
        <w:t xml:space="preserve">.button</w:t>
      </w:r>
      <w:r>
        <w:t xml:space="preserve"> </w:t>
      </w:r>
      <w:r>
        <w:t xml:space="preserve">accent1 whitetext button for link</w:t>
      </w:r>
    </w:p>
    <w:p>
      <w:pPr>
        <w:pStyle w:val="BodyText"/>
      </w:pPr>
      <w:r>
        <w:t xml:space="preserve">.button-success</w:t>
      </w:r>
    </w:p>
    <w:p>
      <w:pPr>
        <w:pStyle w:val="BodyText"/>
      </w:pPr>
      <w:r>
        <w:t xml:space="preserve">.takeaway</w:t>
      </w:r>
    </w:p>
    <w:p>
      <w:pPr>
        <w:pStyle w:val="BodyText"/>
      </w:pPr>
      <w:r>
        <w:t xml:space="preserve">.highlight</w:t>
      </w:r>
    </w:p>
    <w:bookmarkEnd w:id="23"/>
    <w:bookmarkStart w:id="24" w:name="citations"/>
    <w:p>
      <w:pPr>
        <w:pStyle w:val="Heading2"/>
      </w:pPr>
      <w:r>
        <w:t xml:space="preserve">Citations</w:t>
      </w:r>
    </w:p>
    <w:p>
      <w:pPr>
        <w:pStyle w:val="FirstParagraph"/>
      </w:pPr>
      <w:r>
        <w:t xml:space="preserve">Wright et al. (2012)</w:t>
      </w:r>
    </w:p>
    <w:p>
      <w:pPr>
        <w:pStyle w:val="BodyText"/>
      </w:pPr>
      <w:r>
        <w:t xml:space="preserve">Cohen (1992)</w:t>
      </w:r>
      <w:r>
        <w:t xml:space="preserve"> </w:t>
      </w:r>
      <w:r>
        <w:t xml:space="preserve">In text citation</w:t>
      </w:r>
      <w:r>
        <w:t xml:space="preserve"> </w:t>
      </w:r>
      <w:r>
        <w:rPr>
          <w:rStyle w:val="VerbatimChar"/>
        </w:rPr>
        <w:t xml:space="preserve">@Cohen1992</w:t>
      </w:r>
    </w:p>
    <w:p>
      <w:pPr>
        <w:pStyle w:val="BodyText"/>
      </w:pPr>
      <w:r>
        <w:t xml:space="preserve">(Cohen, 1992)</w:t>
      </w:r>
      <w:r>
        <w:t xml:space="preserve"> </w:t>
      </w:r>
      <w:r>
        <w:t xml:space="preserve">not in-text citation `</w:t>
      </w:r>
      <w:r>
        <w:t xml:space="preserve">(Cohen, 1992)</w:t>
      </w:r>
    </w:p>
    <w:p>
      <w:pPr>
        <w:pStyle w:val="BodyText"/>
      </w:pPr>
      <w:r>
        <w:t xml:space="preserve">just type `@` and a search box comes up for your Zotero library or a</w:t>
      </w:r>
      <w:r>
        <w:t xml:space="preserve"> </w:t>
      </w:r>
      <w:r>
        <w:t xml:space="preserve">.bib file associated with the project</w:t>
      </w:r>
    </w:p>
    <w:bookmarkEnd w:id="24"/>
    <w:bookmarkStart w:id="28" w:name="imagecontent-2-column"/>
    <w:p>
      <w:pPr>
        <w:pStyle w:val="Heading2"/>
      </w:pPr>
      <w:r>
        <w:t xml:space="preserve">Image|content 2 column</w:t>
      </w:r>
    </w:p>
    <w:p>
      <w:pPr>
        <w:pStyle w:val="FirstParagraph"/>
      </w:pPr>
      <w:r>
        <w:t xml:space="preserve">Slide with image and commentary in two columns and some explanatory text</w:t>
      </w:r>
      <w:r>
        <w:t xml:space="preserve"> </w:t>
      </w:r>
      <w:r>
        <w:t xml:space="preserve">above</w:t>
      </w:r>
    </w:p>
    <w:p>
      <w:pPr>
        <w:pStyle w:val="BodyText"/>
      </w:pPr>
      <w:r>
        <w:t xml:space="preserve">text text text text text text text text text text text text</w:t>
      </w:r>
    </w:p>
    <w:p>
      <w:pPr>
        <w:pStyle w:val="BodyText"/>
      </w:pPr>
      <w:r>
        <w:t xml:space="preserve">text text text text text text text text text text text text</w:t>
      </w:r>
    </w:p>
    <w:p>
      <w:pPr>
        <w:pStyle w:val="BodyText"/>
      </w:pPr>
      <w:r>
        <w:drawing>
          <wp:inline>
            <wp:extent cx="4368800" cy="4368800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images/TestImage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8800" cy="4368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Here is some text</w:t>
      </w:r>
    </w:p>
    <w:p>
      <w:pPr>
        <w:numPr>
          <w:ilvl w:val="0"/>
          <w:numId w:val="1001"/>
        </w:numPr>
      </w:pPr>
      <w:r>
        <w:t xml:space="preserve">Bullet 1</w:t>
      </w:r>
    </w:p>
    <w:p>
      <w:pPr>
        <w:numPr>
          <w:ilvl w:val="0"/>
          <w:numId w:val="1001"/>
        </w:numPr>
      </w:pPr>
      <w:r>
        <w:t xml:space="preserve">Bullet 2</w:t>
      </w:r>
    </w:p>
    <w:p>
      <w:pPr>
        <w:numPr>
          <w:ilvl w:val="0"/>
          <w:numId w:val="1001"/>
        </w:numPr>
      </w:pPr>
      <w:r>
        <w:t xml:space="preserve">Bullet 3</w:t>
      </w:r>
    </w:p>
    <w:bookmarkEnd w:id="28"/>
    <w:bookmarkStart w:id="29" w:name="callouts"/>
    <w:p>
      <w:pPr>
        <w:pStyle w:val="Heading2"/>
      </w:pPr>
      <w:r>
        <w:t xml:space="preserve">Callouts</w:t>
      </w:r>
    </w:p>
    <w:bookmarkEnd w:id="29"/>
    <w:bookmarkStart w:id="35" w:name="note-callouts"/>
    <w:p>
      <w:pPr>
        <w:pStyle w:val="Heading2"/>
      </w:pPr>
      <w:r>
        <w:t xml:space="preserve">Note Callouts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3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Note default</w:t>
            </w:r>
          </w:p>
          <w:p>
            <w:pPr>
              <w:pStyle w:val="BodyText"/>
            </w:pPr>
            <w:pPr>
              <w:spacing w:before="16" w:after="16"/>
            </w:pPr>
            <w:r>
              <w:t xml:space="preserve">content</w:t>
            </w:r>
          </w:p>
        </w:tc>
      </w:tr>
    </w:tbl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Note simple</w:t>
            </w:r>
          </w:p>
          <w:p>
            <w:pPr>
              <w:pStyle w:val="BodyText"/>
            </w:pPr>
            <w:pPr>
              <w:spacing w:before="16" w:after="16"/>
            </w:pPr>
            <w:r>
              <w:t xml:space="preserve">content</w:t>
            </w:r>
          </w:p>
        </w:tc>
      </w:tr>
    </w:tbl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</w:tcMar>
          </w:tcPr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Note minimal</w:t>
            </w:r>
          </w:p>
          <w:p>
            <w:pPr>
              <w:pStyle w:val="BodyText"/>
            </w:pPr>
            <w:pPr>
              <w:spacing w:before="16" w:after="16"/>
            </w:pPr>
            <w:r>
              <w:t xml:space="preserve">content</w:t>
            </w:r>
          </w:p>
        </w:tc>
      </w:tr>
    </w:tbl>
    <w:bookmarkEnd w:id="35"/>
    <w:bookmarkStart w:id="36" w:name="icons-by-fontawesome"/>
    <w:p>
      <w:pPr>
        <w:pStyle w:val="Heading2"/>
      </w:pPr>
      <w:r>
        <w:t xml:space="preserve">Icons by FontAwesome</w:t>
      </w:r>
    </w:p>
    <w:p>
      <w:pPr>
        <w:pStyle w:val="FirstParagraph"/>
      </w:pPr>
      <w:r>
        <w:t xml:space="preserve">These are cool</w:t>
      </w:r>
      <w:r>
        <w:t xml:space="preserve"> </w:t>
      </w:r>
      <w:r>
        <w:t xml:space="preserve"> </w:t>
      </w:r>
      <w:r>
        <w:t xml:space="preserve">but they do need a full render e.g.</w:t>
      </w:r>
      <w:r>
        <w:t xml:space="preserve"> </w:t>
      </w:r>
      <w:r>
        <w:rPr>
          <w:rStyle w:val="VerbatimChar"/>
        </w:rPr>
        <w:t xml:space="preserve">$ quarto render</w:t>
      </w:r>
      <w:r>
        <w:t xml:space="preserve"> </w:t>
      </w:r>
      <w:r>
        <w:t xml:space="preserve">in order to be seen.</w:t>
      </w:r>
    </w:p>
    <w:p>
      <w:pPr>
        <w:pStyle w:val="BodyText"/>
      </w:pPr>
      <w:r>
        <w:t xml:space="preserve">They can also be used in pdfs</w:t>
      </w:r>
    </w:p>
    <w:p>
      <w:pPr>
        <w:pStyle w:val="TableCaption"/>
      </w:pPr>
      <w:r>
        <w:t xml:space="preserve">Fontawesome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Fontawesome"/>
      </w:tblPr>
      <w:tblGrid>
        <w:gridCol w:w="3745"/>
        <w:gridCol w:w="417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input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output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{{&lt; fa binoculars &gt;}}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 </w:t>
            </w:r>
            <w:r>
              <w:t xml:space="preserve">Prepare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{{&lt; fa chalkboard-teacher &gt;}}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 </w:t>
            </w:r>
            <w:r>
              <w:t xml:space="preserve">Lecture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{{&lt; fa users &gt;}}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 </w:t>
            </w:r>
            <w:r>
              <w:t xml:space="preserve">Lab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{{&lt; fa bookmark &gt;}}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 </w:t>
            </w:r>
            <w:r>
              <w:t xml:space="preserve">Reading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{{&lt; fa book &gt;}}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 </w:t>
            </w:r>
            <w:r>
              <w:t xml:space="preserve">Mini-Dissertation</w:t>
            </w:r>
          </w:p>
        </w:tc>
      </w:tr>
    </w:tbl>
    <w:bookmarkEnd w:id="36"/>
    <w:bookmarkStart w:id="42" w:name="references"/>
    <w:p>
      <w:pPr>
        <w:pStyle w:val="Heading2"/>
      </w:pPr>
      <w:r>
        <w:t xml:space="preserve">References</w:t>
      </w:r>
    </w:p>
    <w:bookmarkStart w:id="41" w:name="refs"/>
    <w:bookmarkStart w:id="38" w:name="ref-Cohen1992"/>
    <w:p>
      <w:pPr>
        <w:pStyle w:val="Bibliography"/>
      </w:pPr>
      <w:r>
        <w:t xml:space="preserve">Cohen, J. (1992). A power primer.</w:t>
      </w:r>
      <w:r>
        <w:t xml:space="preserve"> </w:t>
      </w:r>
      <w:r>
        <w:rPr>
          <w:iCs/>
          <w:i/>
        </w:rPr>
        <w:t xml:space="preserve">Psychological Bulletin</w:t>
      </w:r>
      <w:r>
        <w:t xml:space="preserve">,</w:t>
      </w:r>
      <w:r>
        <w:t xml:space="preserve"> </w:t>
      </w:r>
      <w:r>
        <w:rPr>
          <w:iCs/>
          <w:i/>
        </w:rPr>
        <w:t xml:space="preserve">112</w:t>
      </w:r>
      <w:r>
        <w:t xml:space="preserve">, 155–155.</w:t>
      </w:r>
      <w:r>
        <w:t xml:space="preserve"> </w:t>
      </w:r>
      <w:hyperlink r:id="rId37">
        <w:r>
          <w:rPr>
            <w:rStyle w:val="Hyperlink"/>
          </w:rPr>
          <w:t xml:space="preserve">https://doi.org/10.1037/0033-2909.112.1.155</w:t>
        </w:r>
      </w:hyperlink>
    </w:p>
    <w:bookmarkEnd w:id="38"/>
    <w:bookmarkStart w:id="40" w:name="ref-wright2012"/>
    <w:p>
      <w:pPr>
        <w:pStyle w:val="Bibliography"/>
      </w:pPr>
      <w:r>
        <w:t xml:space="preserve">Wright, G. R. T., Berry, C. J., &amp; Bird, G. (2012).</w:t>
      </w:r>
      <w:r>
        <w:t xml:space="preserve"> </w:t>
      </w:r>
      <w:r>
        <w:t xml:space="preserve">“</w:t>
      </w:r>
      <w:r>
        <w:t xml:space="preserve">You can</w:t>
      </w:r>
      <w:r>
        <w:t xml:space="preserve">’</w:t>
      </w:r>
      <w:r>
        <w:t xml:space="preserve">t kid a kidder</w:t>
      </w:r>
      <w:r>
        <w:t xml:space="preserve">”</w:t>
      </w:r>
      <w:r>
        <w:t xml:space="preserve">: association between production and detection of deception in an interactive deception task. u1 - wright2012.</w:t>
      </w:r>
      <w:r>
        <w:t xml:space="preserve"> </w:t>
      </w:r>
      <w:r>
        <w:rPr>
          <w:iCs/>
          <w:i/>
        </w:rPr>
        <w:t xml:space="preserve">Frontiers in Human Neuroscience</w:t>
      </w:r>
      <w:r>
        <w:t xml:space="preserve">,</w:t>
      </w:r>
      <w:r>
        <w:t xml:space="preserve"> </w:t>
      </w:r>
      <w:r>
        <w:rPr>
          <w:iCs/>
          <w:i/>
        </w:rPr>
        <w:t xml:space="preserve">6</w:t>
      </w:r>
      <w:r>
        <w:t xml:space="preserve">, 87.</w:t>
      </w:r>
      <w:r>
        <w:t xml:space="preserve"> </w:t>
      </w:r>
      <w:hyperlink r:id="rId39">
        <w:r>
          <w:rPr>
            <w:rStyle w:val="Hyperlink"/>
          </w:rPr>
          <w:t xml:space="preserve">https://doi.org/10.3389/fnhum.2012.00087</w:t>
        </w:r>
      </w:hyperlink>
    </w:p>
    <w:bookmarkEnd w:id="40"/>
    <w:bookmarkEnd w:id="41"/>
    <w:bookmarkEnd w:id="42"/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0" Target="media/rId30.png" /><Relationship Type="http://schemas.openxmlformats.org/officeDocument/2006/relationships/image" Id="rId25" Target="media/rId25.png" /><Relationship Type="http://schemas.openxmlformats.org/officeDocument/2006/relationships/hyperlink" Id="rId37" Target="https://doi.org/10.1037/0033-2909.112.1.155" TargetMode="External" /><Relationship Type="http://schemas.openxmlformats.org/officeDocument/2006/relationships/hyperlink" Id="rId39" Target="https://doi.org/10.3389/fnhum.2012.00087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7" Target="https://doi.org/10.1037/0033-2909.112.1.155" TargetMode="External" /><Relationship Type="http://schemas.openxmlformats.org/officeDocument/2006/relationships/hyperlink" Id="rId39" Target="https://doi.org/10.3389/fnhum.2012.00087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01:   Replace it!</dc:title>
  <dc:creator>Dr. Gordon Wright</dc:creator>
  <cp:keywords/>
  <dcterms:created xsi:type="dcterms:W3CDTF">2023-09-17T17:32:55Z</dcterms:created>
  <dcterms:modified xsi:type="dcterms:W3CDTF">2023-09-17T17:32:55Z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citations-hover">
    <vt:lpwstr>True</vt:lpwstr>
  </property>
  <property fmtid="{D5CDD505-2E9C-101B-9397-08002B2CF9AE}" pid="9" name="csl">
    <vt:lpwstr>../../apa7.csl</vt:lpwstr>
  </property>
  <property fmtid="{D5CDD505-2E9C-101B-9397-08002B2CF9AE}" pid="10" name="date">
    <vt:lpwstr>October 2, 2023</vt:lpwstr>
  </property>
  <property fmtid="{D5CDD505-2E9C-101B-9397-08002B2CF9AE}" pid="11" name="date-format">
    <vt:lpwstr>long</vt:lpwstr>
  </property>
  <property fmtid="{D5CDD505-2E9C-101B-9397-08002B2CF9AE}" pid="12" name="editor">
    <vt:lpwstr>visual</vt:lpwstr>
  </property>
  <property fmtid="{D5CDD505-2E9C-101B-9397-08002B2CF9AE}" pid="13" name="execute">
    <vt:lpwstr/>
  </property>
  <property fmtid="{D5CDD505-2E9C-101B-9397-08002B2CF9AE}" pid="14" name="footer">
    <vt:lpwstr>🔗 VLE</vt:lpwstr>
  </property>
  <property fmtid="{D5CDD505-2E9C-101B-9397-08002B2CF9AE}" pid="15" name="header-includes">
    <vt:lpwstr/>
  </property>
  <property fmtid="{D5CDD505-2E9C-101B-9397-08002B2CF9AE}" pid="16" name="include-after">
    <vt:lpwstr/>
  </property>
  <property fmtid="{D5CDD505-2E9C-101B-9397-08002B2CF9AE}" pid="17" name="include-before">
    <vt:lpwstr/>
  </property>
  <property fmtid="{D5CDD505-2E9C-101B-9397-08002B2CF9AE}" pid="18" name="labels">
    <vt:lpwstr/>
  </property>
  <property fmtid="{D5CDD505-2E9C-101B-9397-08002B2CF9AE}" pid="19" name="license">
    <vt:lpwstr/>
  </property>
  <property fmtid="{D5CDD505-2E9C-101B-9397-08002B2CF9AE}" pid="20" name="modulecode">
    <vt:lpwstr>PS52007D</vt:lpwstr>
  </property>
  <property fmtid="{D5CDD505-2E9C-101B-9397-08002B2CF9AE}" pid="21" name="params">
    <vt:lpwstr/>
  </property>
  <property fmtid="{D5CDD505-2E9C-101B-9397-08002B2CF9AE}" pid="22" name="subtitle">
    <vt:lpwstr>This is a meaningful subtitle</vt:lpwstr>
  </property>
  <property fmtid="{D5CDD505-2E9C-101B-9397-08002B2CF9AE}" pid="23" name="toc-title">
    <vt:lpwstr>Table of contents</vt:lpwstr>
  </property>
</Properties>
</file>