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1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Welcome</w:t>
      </w:r>
      <w:r>
        <w:t xml:space="preserve"> </w:t>
      </w:r>
      <w:r>
        <w:t xml:space="preserve">to</w:t>
      </w:r>
      <w:r>
        <w:t xml:space="preserve"> </w:t>
      </w:r>
      <w:r>
        <w:t xml:space="preserve">Research</w:t>
      </w:r>
      <w:r>
        <w:t xml:space="preserve"> </w:t>
      </w:r>
      <w:r>
        <w:t xml:space="preserve">Methods</w:t>
      </w:r>
      <w:r>
        <w:t xml:space="preserve"> </w:t>
      </w:r>
      <w:r>
        <w:t xml:space="preserve">in</w:t>
      </w:r>
      <w:r>
        <w:t xml:space="preserve"> </w:t>
      </w:r>
      <w:r>
        <w:t xml:space="preserve">Year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bookmarkStart w:id="26" w:name="title-of-lecture"/>
    <w:p>
      <w:pPr>
        <w:pStyle w:val="Heading1"/>
      </w:pPr>
      <w:r>
        <w:t xml:space="preserve">Title of Lecture</w:t>
      </w:r>
    </w:p>
    <w:p>
      <w:pPr>
        <w:pStyle w:val="FirstParagraph"/>
      </w:pPr>
      <w:r>
        <w:drawing>
          <wp:inline>
            <wp:extent cx="5943600" cy="7155034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RevealKeyBoardShortcuts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1550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3" w:name="subtitle-of-lecture"/>
    <w:p>
      <w:pPr>
        <w:pStyle w:val="Heading2"/>
      </w:pPr>
      <w:r>
        <w:t xml:space="preserve">subtitle of lecture</w:t>
      </w:r>
    </w:p>
    <w:p>
      <w:pPr>
        <w:pStyle w:val="FirstParagraph"/>
      </w:pPr>
      <w:r>
        <w:t xml:space="preserve">text</w:t>
      </w:r>
    </w:p>
    <w:bookmarkEnd w:id="23"/>
    <w:bookmarkStart w:id="24" w:name="slide-2"/>
    <w:p>
      <w:pPr>
        <w:pStyle w:val="Heading2"/>
      </w:pPr>
      <w:r>
        <w:t xml:space="preserve">Slide 2</w:t>
      </w:r>
    </w:p>
    <w:p>
      <w:pPr>
        <w:pStyle w:val="FirstParagraph"/>
      </w:pPr>
      <w:r>
        <w:t xml:space="preserve">test</w:t>
      </w:r>
    </w:p>
    <w:bookmarkEnd w:id="24"/>
    <w:bookmarkStart w:id="25" w:name="slide-three"/>
    <w:p>
      <w:pPr>
        <w:pStyle w:val="Heading2"/>
      </w:pPr>
      <w:r>
        <w:t xml:space="preserve">Slide three</w:t>
      </w:r>
    </w:p>
    <w:p>
      <w:pPr>
        <w:pStyle w:val="FirstParagraph"/>
      </w:pPr>
      <w:r>
        <w:t xml:space="preserve">testings</w:t>
      </w:r>
    </w:p>
    <w:bookmarkEnd w:id="25"/>
    <w:bookmarkEnd w:id="26"/>
    <w:bookmarkStart w:id="29" w:name="part-1-with-code"/>
    <w:p>
      <w:pPr>
        <w:pStyle w:val="Heading1"/>
      </w:pPr>
      <w:r>
        <w:t xml:space="preserve">PART 1 With</w:t>
      </w:r>
      <w:r>
        <w:t xml:space="preserve"> </w:t>
      </w:r>
      <w:r>
        <w:rPr>
          <w:rStyle w:val="VerbatimChar"/>
        </w:rPr>
        <w:t xml:space="preserve">code</w:t>
      </w:r>
    </w:p>
    <w:bookmarkStart w:id="27" w:name="column-layout---source"/>
    <w:p>
      <w:pPr>
        <w:pStyle w:val="Heading2"/>
      </w:pPr>
      <w:r>
        <w:t xml:space="preserve">2 column layout - source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3960"/>
        <w:gridCol w:w="3960"/>
      </w:tblGrid>
      <w:tr>
        <w:tc>
          <w:tcPr/>
          <w:p>
            <w:pPr>
              <w:jc w:val="center"/>
            </w:pPr>
            <w:r>
              <w:t xml:space="preserve">original stuff</w:t>
            </w:r>
          </w:p>
        </w:tc>
        <w:tc>
          <w:tcPr/>
          <w:p>
            <w:pPr>
              <w:jc w:val="center"/>
            </w:pPr>
            <w:r>
              <w:t xml:space="preserve">Stuff</w:t>
            </w:r>
          </w:p>
        </w:tc>
      </w:tr>
    </w:tbl>
    <w:bookmarkEnd w:id="27"/>
    <w:bookmarkStart w:id="28" w:name="column-layout--visual"/>
    <w:p>
      <w:pPr>
        <w:pStyle w:val="Heading2"/>
      </w:pPr>
      <w:r>
        <w:t xml:space="preserve">2 column layout -visual</w:t>
      </w:r>
    </w:p>
    <w:p>
      <w:pPr>
        <w:pStyle w:val="FirstParagraph"/>
      </w:pPr>
      <w:r>
        <w:t xml:space="preserve">initial stuff</w:t>
      </w:r>
    </w:p>
    <w:p>
      <w:pPr>
        <w:pStyle w:val="BodyText"/>
      </w:pPr>
      <w:r>
        <w:t xml:space="preserve">more stuff</w:t>
      </w:r>
    </w:p>
    <w:bookmarkEnd w:id="28"/>
    <w:bookmarkEnd w:id="29"/>
    <w:bookmarkStart w:id="53" w:name="section"/>
    <w:p>
      <w:pPr>
        <w:pStyle w:val="Heading1"/>
      </w:pPr>
    </w:p>
    <w:bookmarkStart w:id="30" w:name="column-layout---source-1"/>
    <w:p>
      <w:pPr>
        <w:pStyle w:val="Heading2"/>
      </w:pPr>
      <w:r>
        <w:t xml:space="preserve">3 column layout - source</w:t>
      </w:r>
    </w:p>
    <w:bookmarkEnd w:id="30"/>
    <w:bookmarkStart w:id="34" w:name="columns"/>
    <w:p>
      <w:pPr>
        <w:pStyle w:val="Heading2"/>
      </w:pPr>
      <w:r>
        <w:t xml:space="preserve">Columns</w:t>
      </w:r>
    </w:p>
    <w:p>
      <w:pPr>
        <w:pStyle w:val="FirstParagraph"/>
      </w:pPr>
      <w:r>
        <w:t xml:space="preserve">::: columns ::: {.column width=</w:t>
      </w:r>
      <w:r>
        <w:t xml:space="preserve">“</w:t>
      </w:r>
      <w:r>
        <w:t xml:space="preserve">30%</w:t>
      </w:r>
      <w:r>
        <w:t xml:space="preserve">”</w:t>
      </w:r>
      <w:r>
        <w:t xml:space="preserve">}</w:t>
      </w:r>
      <w:r>
        <w:t xml:space="preserve"> </w:t>
      </w:r>
      <w:r>
        <w:drawing>
          <wp:inline>
            <wp:extent cx="5880100" cy="2806700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images/Pasted image 20230531173247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0100" cy="2806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:::</w:t>
      </w:r>
    </w:p>
    <w:p>
      <w:pPr>
        <w:pStyle w:val="BodyText"/>
      </w:pPr>
      <w:r>
        <w:t xml:space="preserve">(</w:t>
      </w:r>
      <w:r>
        <w:rPr>
          <w:bCs/>
          <w:b/>
        </w:rPr>
        <w:t xml:space="preserve">greenspan?</w:t>
      </w:r>
      <w:r>
        <w:t xml:space="preserve">)</w:t>
      </w:r>
      <w:r>
        <w:t xml:space="preserve"> </w:t>
      </w:r>
      <w:r>
        <w:t xml:space="preserve">2009 model is a cornerstone in gullibility research and even</w:t>
      </w:r>
      <w:r>
        <w:t xml:space="preserve"> </w:t>
      </w:r>
      <w:r>
        <w:t xml:space="preserve">inspired the creation of the only existing gullibility scale (Teunisse</w:t>
      </w:r>
      <w:r>
        <w:t xml:space="preserve"> </w:t>
      </w:r>
      <w:r>
        <w:t xml:space="preserve">et al., 2020). But let’s not mince words: the model lacks empirical</w:t>
      </w:r>
      <w:r>
        <w:t xml:space="preserve"> </w:t>
      </w:r>
      <w:r>
        <w:t xml:space="preserve">backbone, having never been subjected to validity or reliability tests.</w:t>
      </w:r>
      <w:r>
        <w:t xml:space="preserve"> </w:t>
      </w:r>
      <w:r>
        <w:t xml:space="preserve">Greenspan identifies four key players in the drama of gullibility:</w:t>
      </w:r>
      <w:r>
        <w:t xml:space="preserve"> </w:t>
      </w:r>
      <w:r>
        <w:t xml:space="preserve">situation, cognition, personality, and state. Situation is all about the</w:t>
      </w:r>
      <w:r>
        <w:t xml:space="preserve"> </w:t>
      </w:r>
      <w:r>
        <w:t xml:space="preserve">deceiver’s skill in crafting a compelling tale. Cognition tackles the</w:t>
      </w:r>
      <w:r>
        <w:t xml:space="preserve"> </w:t>
      </w:r>
      <w:r>
        <w:t xml:space="preserve">victim’s mental state—think cognitive load or mood. State zeroes in on</w:t>
      </w:r>
      <w:r>
        <w:t xml:space="preserve"> </w:t>
      </w:r>
      <w:r>
        <w:t xml:space="preserve">the victim’s physical and mental readiness to critically engage, while</w:t>
      </w:r>
      <w:r>
        <w:t xml:space="preserve"> </w:t>
      </w:r>
      <w:r>
        <w:t xml:space="preserve">personality zooms in on trust and agreeableness.</w:t>
      </w:r>
    </w:p>
    <w:bookmarkEnd w:id="34"/>
    <w:bookmarkStart w:id="35" w:name="column-layout---source-2"/>
    <w:p>
      <w:pPr>
        <w:pStyle w:val="Heading2"/>
      </w:pPr>
      <w:r>
        <w:t xml:space="preserve">3 column layout - source</w:t>
      </w:r>
    </w:p>
    <w:bookmarkEnd w:id="35"/>
    <w:bookmarkStart w:id="38" w:name="columns-1"/>
    <w:p>
      <w:pPr>
        <w:pStyle w:val="Heading2"/>
      </w:pPr>
      <w:r>
        <w:t xml:space="preserve">Columns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jc w:val="left"/>
            </w:pPr>
            <w:r>
              <w:drawing>
                <wp:inline>
                  <wp:extent cx="5880100" cy="2806700"/>
                  <wp:effectExtent b="0" l="0" r="0" t="0"/>
                  <wp:docPr descr="" title="" id="36" name="Picture"/>
                  <a:graphic>
                    <a:graphicData uri="http://schemas.openxmlformats.org/drawingml/2006/picture">
                      <pic:pic>
                        <pic:nvPicPr>
                          <pic:cNvPr descr="images/Pasted image 20230531173247.png" id="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80100" cy="280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left"/>
            </w:pPr>
            <w:pPr>
              <w:jc w:val="start"/>
              <w:spacing w:before="200"/>
              <w:pStyle w:val="ImageCaption"/>
            </w:pPr>
          </w:p>
        </w:tc>
      </w:tr>
    </w:tbl>
    <w:p>
      <w:pPr>
        <w:pStyle w:val="BodyText"/>
      </w:pPr>
      <w:r>
        <w:t xml:space="preserve">Greenspan’s 2009 model is a cornerstone in gullibility research and even</w:t>
      </w:r>
      <w:r>
        <w:t xml:space="preserve"> </w:t>
      </w:r>
      <w:r>
        <w:t xml:space="preserve">inspired the creation of the only existing gullibility scale (Teunisse</w:t>
      </w:r>
      <w:r>
        <w:t xml:space="preserve"> </w:t>
      </w:r>
      <w:r>
        <w:t xml:space="preserve">et al., 2020).</w:t>
      </w:r>
    </w:p>
    <w:bookmarkEnd w:id="38"/>
    <w:bookmarkStart w:id="39" w:name="content"/>
    <w:p>
      <w:pPr>
        <w:pStyle w:val="Heading2"/>
      </w:pPr>
      <w:r>
        <w:t xml:space="preserve">🗣 Content</w:t>
      </w:r>
    </w:p>
    <w:p>
      <w:pPr>
        <w:pStyle w:val="FirstParagraph"/>
      </w:pPr>
      <w:r>
        <w:t xml:space="preserve">This is what will be discussed today.</w:t>
      </w:r>
    </w:p>
    <w:p>
      <w:pPr>
        <w:pStyle w:val="BodyText"/>
      </w:pPr>
      <w:r>
        <w:t xml:space="preserve">Always good to explain the agenda so audience can have clear</w:t>
      </w:r>
      <w:r>
        <w:t xml:space="preserve"> </w:t>
      </w:r>
      <w:r>
        <w:t xml:space="preserve">expectations.</w:t>
      </w:r>
    </w:p>
    <w:p>
      <w:pPr>
        <w:pStyle w:val="BodyText"/>
      </w:pPr>
      <w:r>
        <w:t xml:space="preserve">Therse are animated bullet points:</w:t>
      </w:r>
    </w:p>
    <w:p>
      <w:pPr>
        <w:numPr>
          <w:ilvl w:val="0"/>
          <w:numId w:val="1001"/>
        </w:numPr>
        <w:pStyle w:val="Compact"/>
      </w:pPr>
      <w:r>
        <w:t xml:space="preserve">   📜 Point one</w:t>
      </w:r>
    </w:p>
    <w:p>
      <w:pPr>
        <w:numPr>
          <w:ilvl w:val="0"/>
          <w:numId w:val="1001"/>
        </w:numPr>
        <w:pStyle w:val="Compact"/>
      </w:pPr>
      <w:r>
        <w:t xml:space="preserve">   🧫 Point two</w:t>
      </w:r>
    </w:p>
    <w:p>
      <w:pPr>
        <w:numPr>
          <w:ilvl w:val="0"/>
          <w:numId w:val="1001"/>
        </w:numPr>
        <w:pStyle w:val="Compact"/>
      </w:pPr>
      <w:r>
        <w:t xml:space="preserve">   🚀 Point three</w:t>
      </w:r>
    </w:p>
    <w:p>
      <w:pPr>
        <w:pStyle w:val="FirstParagraph"/>
      </w:pPr>
      <w:r>
        <w:t xml:space="preserve">…You ca</w:t>
      </w:r>
    </w:p>
    <w:bookmarkEnd w:id="39"/>
    <w:bookmarkStart w:id="42" w:name="fragments"/>
    <w:p>
      <w:pPr>
        <w:pStyle w:val="Heading2"/>
      </w:pPr>
      <w:r>
        <w:t xml:space="preserve">Fragments</w:t>
      </w:r>
    </w:p>
    <w:p>
      <w:pPr>
        <w:pStyle w:val="FirstParagraph"/>
      </w:pPr>
      <w:r>
        <w:t xml:space="preserve">Incremental text display and animation with fragments:</w:t>
      </w:r>
    </w:p>
    <w:p>
      <w:pPr>
        <w:pStyle w:val="BodyText"/>
      </w:pPr>
    </w:p>
    <w:p>
      <w:pPr>
        <w:pStyle w:val="BodyText"/>
      </w:pPr>
      <w:r>
        <w:t xml:space="preserve">Fade in</w:t>
      </w:r>
    </w:p>
    <w:p>
      <w:pPr>
        <w:pStyle w:val="BodyText"/>
      </w:pPr>
      <w:r>
        <w:t xml:space="preserve">Slide up while fading in</w:t>
      </w:r>
    </w:p>
    <w:p>
      <w:pPr>
        <w:pStyle w:val="BodyText"/>
      </w:pPr>
      <w:r>
        <w:t xml:space="preserve">Slide left while fading in</w:t>
      </w:r>
    </w:p>
    <w:p>
      <w:pPr>
        <w:pStyle w:val="BodyText"/>
      </w:pPr>
      <w:r>
        <w:t xml:space="preserve">Fade in then semi out</w:t>
      </w:r>
    </w:p>
    <w:p>
      <w:pPr>
        <w:pStyle w:val="BodyText"/>
      </w:pPr>
      <w:r>
        <w:t xml:space="preserve">. . .</w:t>
      </w:r>
    </w:p>
    <w:p>
      <w:pPr>
        <w:pStyle w:val="BodyText"/>
      </w:pPr>
      <w:r>
        <w:t xml:space="preserve">Strike</w:t>
      </w:r>
    </w:p>
    <w:p>
      <w:pPr>
        <w:pStyle w:val="BodyText"/>
      </w:pPr>
      <w:r>
        <w:t xml:space="preserve">Highlight red</w:t>
      </w:r>
    </w:p>
    <w:p>
      <w:pPr>
        <w:pStyle w:val="BodyText"/>
      </w:pPr>
      <w:r>
        <w:t xml:space="preserve">Learn more:</w:t>
      </w:r>
      <w:r>
        <w:t xml:space="preserve"> </w:t>
      </w:r>
      <w:hyperlink r:id="rId40">
        <w:r>
          <w:rPr>
            <w:rStyle w:val="Hyperlink"/>
          </w:rPr>
          <w:t xml:space="preserve">Fragments</w:t>
        </w:r>
      </w:hyperlink>
    </w:p>
    <w:p>
      <w:pPr>
        <w:pStyle w:val="BodyText"/>
      </w:pPr>
      <w:r>
        <w:t xml:space="preserve">Learn more:</w:t>
      </w:r>
      <w:r>
        <w:t xml:space="preserve"> </w:t>
      </w:r>
      <w:hyperlink r:id="rId41">
        <w:r>
          <w:rPr>
            <w:rStyle w:val="Hyperlink"/>
          </w:rPr>
          <w:t xml:space="preserve">Chalkboard</w:t>
        </w:r>
      </w:hyperlink>
    </w:p>
    <w:bookmarkEnd w:id="42"/>
    <w:bookmarkStart w:id="44" w:name="slide-backgrounds"/>
    <w:p>
      <w:pPr>
        <w:pStyle w:val="Heading2"/>
      </w:pPr>
      <w:r>
        <w:t xml:space="preserve">Slide Backgrounds</w:t>
      </w:r>
    </w:p>
    <w:p>
      <w:pPr>
        <w:pStyle w:val="FirstParagraph"/>
      </w:pPr>
      <w:r>
        <w:t xml:space="preserve">Set the</w:t>
      </w:r>
      <w:r>
        <w:t xml:space="preserve"> </w:t>
      </w:r>
      <w:r>
        <w:rPr>
          <w:rStyle w:val="VerbatimChar"/>
        </w:rPr>
        <w:t xml:space="preserve">background</w:t>
      </w:r>
      <w:r>
        <w:t xml:space="preserve"> </w:t>
      </w:r>
      <w:r>
        <w:t xml:space="preserve">attribute on a slide to change the background color</w:t>
      </w:r>
      <w:r>
        <w:t xml:space="preserve"> </w:t>
      </w:r>
      <w:r>
        <w:t xml:space="preserve">(all CSS color formats are supported).</w:t>
      </w:r>
    </w:p>
    <w:p>
      <w:pPr>
        <w:pStyle w:val="BodyText"/>
      </w:pPr>
      <w:r>
        <w:t xml:space="preserve">Different background transitions are available via the</w:t>
      </w:r>
      <w:r>
        <w:t xml:space="preserve"> </w:t>
      </w:r>
      <w:r>
        <w:rPr>
          <w:rStyle w:val="VerbatimChar"/>
        </w:rPr>
        <w:t xml:space="preserve">background-transition</w:t>
      </w:r>
      <w:r>
        <w:t xml:space="preserve"> </w:t>
      </w:r>
      <w:r>
        <w:t xml:space="preserve">option.</w:t>
      </w:r>
    </w:p>
    <w:p>
      <w:pPr>
        <w:pStyle w:val="BodyText"/>
      </w:pPr>
      <w:r>
        <w:t xml:space="preserve">Learn more:</w:t>
      </w:r>
      <w:r>
        <w:t xml:space="preserve"> </w:t>
      </w:r>
      <w:hyperlink r:id="rId43">
        <w:r>
          <w:rPr>
            <w:rStyle w:val="Hyperlink"/>
          </w:rPr>
          <w:t xml:space="preserve">Slide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Backgrounds</w:t>
        </w:r>
      </w:hyperlink>
    </w:p>
    <w:bookmarkEnd w:id="44"/>
    <w:bookmarkStart w:id="46" w:name="media-backgrounds"/>
    <w:p>
      <w:pPr>
        <w:pStyle w:val="Heading2"/>
      </w:pPr>
      <w:r>
        <w:t xml:space="preserve">Media Backgrounds</w:t>
      </w:r>
    </w:p>
    <w:p>
      <w:pPr>
        <w:pStyle w:val="FirstParagraph"/>
      </w:pPr>
      <w:r>
        <w:t xml:space="preserve">You can also use the following as a slide background:</w:t>
      </w:r>
    </w:p>
    <w:p>
      <w:pPr>
        <w:numPr>
          <w:ilvl w:val="0"/>
          <w:numId w:val="1002"/>
        </w:numPr>
      </w:pPr>
      <w:r>
        <w:t xml:space="preserve">An image:</w:t>
      </w:r>
      <w:r>
        <w:t xml:space="preserve"> </w:t>
      </w:r>
      <w:r>
        <w:rPr>
          <w:rStyle w:val="VerbatimChar"/>
        </w:rPr>
        <w:t xml:space="preserve">background-image</w:t>
      </w:r>
    </w:p>
    <w:p>
      <w:pPr>
        <w:numPr>
          <w:ilvl w:val="0"/>
          <w:numId w:val="1002"/>
        </w:numPr>
      </w:pPr>
      <w:r>
        <w:t xml:space="preserve">A video:</w:t>
      </w:r>
      <w:r>
        <w:t xml:space="preserve"> </w:t>
      </w:r>
      <w:r>
        <w:rPr>
          <w:rStyle w:val="VerbatimChar"/>
        </w:rPr>
        <w:t xml:space="preserve">background-video</w:t>
      </w:r>
    </w:p>
    <w:p>
      <w:pPr>
        <w:numPr>
          <w:ilvl w:val="0"/>
          <w:numId w:val="1002"/>
        </w:numPr>
      </w:pPr>
      <w:r>
        <w:t xml:space="preserve">An iframe:</w:t>
      </w:r>
      <w:r>
        <w:t xml:space="preserve"> </w:t>
      </w:r>
      <w:r>
        <w:rPr>
          <w:rStyle w:val="VerbatimChar"/>
        </w:rPr>
        <w:t xml:space="preserve">background-iframe</w:t>
      </w:r>
    </w:p>
    <w:p>
      <w:pPr>
        <w:pStyle w:val="FirstParagraph"/>
      </w:pPr>
      <w:r>
        <w:t xml:space="preserve">Learn more:</w:t>
      </w:r>
      <w:r>
        <w:t xml:space="preserve"> </w:t>
      </w:r>
      <w:hyperlink r:id="rId45">
        <w:r>
          <w:rPr>
            <w:rStyle w:val="Hyperlink"/>
          </w:rPr>
          <w:t xml:space="preserve">Media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Backgrounds</w:t>
        </w:r>
      </w:hyperlink>
    </w:p>
    <w:bookmarkEnd w:id="46"/>
    <w:bookmarkStart w:id="48" w:name="absolute-position"/>
    <w:p>
      <w:pPr>
        <w:pStyle w:val="Heading2"/>
      </w:pPr>
      <w:r>
        <w:t xml:space="preserve">Absolute Position</w:t>
      </w:r>
    </w:p>
    <w:p>
      <w:pPr>
        <w:pStyle w:val="FirstParagraph"/>
      </w:pPr>
      <w:r>
        <w:t xml:space="preserve">Position images or other elements at precise locations</w:t>
      </w:r>
    </w:p>
    <w:p>
      <w:pPr>
        <w:pStyle w:val="BodyText"/>
      </w:pPr>
      <w:r>
        <w:t xml:space="preserve">Learn more:</w:t>
      </w:r>
      <w:r>
        <w:t xml:space="preserve"> </w:t>
      </w:r>
      <w:hyperlink r:id="rId47">
        <w:r>
          <w:rPr>
            <w:rStyle w:val="Hyperlink"/>
          </w:rPr>
          <w:t xml:space="preserve">Absolute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Position</w:t>
        </w:r>
      </w:hyperlink>
    </w:p>
    <w:bookmarkEnd w:id="48"/>
    <w:bookmarkStart w:id="50" w:name="auto-animate"/>
    <w:p>
      <w:pPr>
        <w:pStyle w:val="Heading2"/>
      </w:pPr>
      <w:r>
        <w:t xml:space="preserve">Auto-Animate</w:t>
      </w:r>
    </w:p>
    <w:p>
      <w:pPr>
        <w:pStyle w:val="FirstParagraph"/>
      </w:pPr>
      <w:r>
        <w:t xml:space="preserve">Automatically animate matching elements across slides with Auto-Animate.</w:t>
      </w:r>
    </w:p>
    <w:p>
      <w:pPr>
        <w:pStyle w:val="BodyText"/>
      </w:pPr>
      <w:r>
        <w:t xml:space="preserve">Learn more:</w:t>
      </w:r>
      <w:r>
        <w:t xml:space="preserve"> </w:t>
      </w:r>
      <w:hyperlink r:id="rId49">
        <w:r>
          <w:rPr>
            <w:rStyle w:val="Hyperlink"/>
          </w:rPr>
          <w:t xml:space="preserve">Auto-Animate</w:t>
        </w:r>
      </w:hyperlink>
    </w:p>
    <w:bookmarkEnd w:id="50"/>
    <w:bookmarkStart w:id="51" w:name="auto-animate-1"/>
    <w:p>
      <w:pPr>
        <w:pStyle w:val="Heading2"/>
      </w:pPr>
      <w:r>
        <w:t xml:space="preserve">Auto-Animate</w:t>
      </w:r>
    </w:p>
    <w:p>
      <w:pPr>
        <w:pStyle w:val="FirstParagraph"/>
      </w:pPr>
      <w:r>
        <w:t xml:space="preserve">Automatically animate matching elements across slides with Auto-Animate.</w:t>
      </w:r>
    </w:p>
    <w:p>
      <w:pPr>
        <w:pStyle w:val="BodyText"/>
      </w:pPr>
      <w:r>
        <w:t xml:space="preserve">Learn more:</w:t>
      </w:r>
      <w:r>
        <w:t xml:space="preserve"> </w:t>
      </w:r>
      <w:hyperlink r:id="rId49">
        <w:r>
          <w:rPr>
            <w:rStyle w:val="Hyperlink"/>
          </w:rPr>
          <w:t xml:space="preserve">Auto-Animate</w:t>
        </w:r>
      </w:hyperlink>
    </w:p>
    <w:bookmarkEnd w:id="51"/>
    <w:bookmarkStart w:id="52" w:name="section-1"/>
    <w:p>
      <w:pPr>
        <w:pStyle w:val="Heading2"/>
      </w:pPr>
    </w:p>
    <w:bookmarkEnd w:id="52"/>
    <w:bookmarkEnd w:id="53"/>
    <w:sectPr w:rsidR="0088650E" w:rsidRPr="00E343F9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tkinson Hyperlegible">
    <w:panose1 w:val="00000000000000000000"/>
    <w:charset w:val="00"/>
    <w:family w:val="auto"/>
    <w:notTrueType/>
    <w:pitch w:val="variable"/>
    <w:sig w:usb0="00000027" w:usb1="00000000" w:usb2="00000000" w:usb3="00000000" w:csb0="00000083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DF66E58A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5F98E458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B4026960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F4EA5DD0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12906A7E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EBD6FBB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F12A7248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6082D06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430E37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4AC067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FC5E68C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463625701" w:numId="1">
    <w:abstractNumId w:val="10"/>
  </w:num>
  <w:num w16cid:durableId="398986169" w:numId="2">
    <w:abstractNumId w:val="0"/>
  </w:num>
  <w:num w16cid:durableId="1447194981" w:numId="3">
    <w:abstractNumId w:val="1"/>
  </w:num>
  <w:num w16cid:durableId="1354303259" w:numId="4">
    <w:abstractNumId w:val="2"/>
  </w:num>
  <w:num w16cid:durableId="1099714785" w:numId="5">
    <w:abstractNumId w:val="3"/>
  </w:num>
  <w:num w16cid:durableId="1800102660" w:numId="6">
    <w:abstractNumId w:val="8"/>
  </w:num>
  <w:num w16cid:durableId="1079213627" w:numId="7">
    <w:abstractNumId w:val="4"/>
  </w:num>
  <w:num w16cid:durableId="2073961952" w:numId="8">
    <w:abstractNumId w:val="5"/>
  </w:num>
  <w:num w16cid:durableId="649210763" w:numId="9">
    <w:abstractNumId w:val="6"/>
  </w:num>
  <w:num w16cid:durableId="1063018244" w:numId="10">
    <w:abstractNumId w:val="7"/>
  </w:num>
  <w:num w16cid:durableId="184291971" w:numId="11">
    <w:abstractNumId w:val="9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89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011855"/>
    <w:pPr>
      <w:spacing w:before="120"/>
    </w:pPr>
    <w:rPr>
      <w:rFonts w:ascii="Atkinson Hyperlegible" w:hAnsi="Atkinson Hyperlegible"/>
    </w:rPr>
  </w:style>
  <w:style w:styleId="Heading1" w:type="paragraph">
    <w:name w:val="heading 1"/>
    <w:basedOn w:val="Normal"/>
    <w:next w:val="BodyText"/>
    <w:uiPriority w:val="9"/>
    <w:qFormat/>
    <w:rsid w:val="000E3EAF"/>
    <w:pPr>
      <w:keepNext/>
      <w:keepLines/>
      <w:pBdr>
        <w:top w:color="auto" w:space="1" w:sz="4" w:val="single"/>
        <w:left w:color="auto" w:space="4" w:sz="4" w:val="single"/>
        <w:bottom w:color="auto" w:space="1" w:sz="4" w:val="single"/>
        <w:right w:color="auto" w:space="4" w:sz="4" w:val="single"/>
      </w:pBdr>
      <w:shd w:color="auto" w:fill="auto" w:val="pct15"/>
      <w:spacing w:after="0" w:before="480"/>
      <w:outlineLvl w:val="0"/>
    </w:pPr>
    <w:rPr>
      <w:rFonts w:cstheme="majorBidi" w:eastAsiaTheme="majorEastAsia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3E251B"/>
    <w:pPr>
      <w:keepNext/>
      <w:keepLines/>
      <w:pBdr>
        <w:top w:color="auto" w:space="4" w:sz="4" w:val="single"/>
      </w:pBdr>
      <w:spacing w:after="480" w:before="480"/>
      <w:contextualSpacing/>
      <w:jc w:val="center"/>
      <w:outlineLvl w:val="1"/>
    </w:pPr>
    <w:rPr>
      <w:rFonts w:cstheme="majorBidi" w:eastAsiaTheme="majorEastAsia"/>
      <w:b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accent1" w:val="4F81BD"/>
    </w:rPr>
  </w:style>
  <w:style w:styleId="Heading4" w:type="paragraph">
    <w:name w:val="heading 4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3"/>
    </w:pPr>
    <w:rPr>
      <w:rFonts w:cstheme="majorBidi" w:eastAsiaTheme="majorEastAsia"/>
      <w:bCs/>
      <w:i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4"/>
    </w:pPr>
    <w:rPr>
      <w:rFonts w:cstheme="majorBidi" w:eastAsiaTheme="majorEastAsia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5"/>
    </w:pPr>
    <w:rPr>
      <w:rFonts w:cstheme="majorBidi" w:eastAsiaTheme="majorEastAsia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6"/>
    </w:pPr>
    <w:rPr>
      <w:rFonts w:cstheme="majorBidi" w:eastAsiaTheme="majorEastAsia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7"/>
    </w:pPr>
    <w:rPr>
      <w:rFonts w:cstheme="majorBidi" w:eastAsiaTheme="majorEastAsia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8"/>
    </w:pPr>
    <w:rPr>
      <w:rFonts w:cstheme="majorBidi" w:eastAsiaTheme="majorEastAsia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641073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  <w:rsid w:val="00641073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6D2303"/>
    <w:pPr>
      <w:keepNext/>
      <w:keepLines/>
      <w:spacing w:after="240" w:before="480"/>
      <w:jc w:val="center"/>
    </w:pPr>
    <w:rPr>
      <w:rFonts w:cstheme="majorBidi" w:eastAsiaTheme="majorEastAsia"/>
      <w:b/>
      <w:bCs/>
      <w:color w:val="325B74"/>
      <w:sz w:val="36"/>
      <w:szCs w:val="36"/>
    </w:rPr>
  </w:style>
  <w:style w:styleId="Subtitle" w:type="paragraph">
    <w:name w:val="Subtitle"/>
    <w:basedOn w:val="Title"/>
    <w:next w:val="BodyText"/>
    <w:qFormat/>
    <w:rsid w:val="006D2303"/>
    <w:pPr>
      <w:spacing w:before="240"/>
    </w:pPr>
    <w:rPr>
      <w:i/>
      <w:sz w:val="30"/>
      <w:szCs w:val="30"/>
    </w:rPr>
  </w:style>
  <w:style w:customStyle="1" w:styleId="Author" w:type="paragraph">
    <w:name w:val="Author"/>
    <w:next w:val="BodyText"/>
    <w:qFormat/>
    <w:rsid w:val="00641073"/>
    <w:pPr>
      <w:keepNext/>
      <w:keepLines/>
      <w:jc w:val="center"/>
    </w:pPr>
    <w:rPr>
      <w:rFonts w:ascii="Atkinson Hyperlegible" w:hAnsi="Atkinson Hyperlegible"/>
    </w:rPr>
  </w:style>
  <w:style w:styleId="Date" w:type="paragraph">
    <w:name w:val="Date"/>
    <w:next w:val="BodyText"/>
    <w:qFormat/>
    <w:rsid w:val="00641073"/>
    <w:pPr>
      <w:keepNext/>
      <w:keepLines/>
      <w:jc w:val="center"/>
    </w:pPr>
    <w:rPr>
      <w:rFonts w:ascii="Atkinson Hyperlegible" w:hAnsi="Atkinson Hyperlegible"/>
    </w:rPr>
  </w:style>
  <w:style w:customStyle="1" w:styleId="Abstract" w:type="paragraph">
    <w:name w:val="Abstract"/>
    <w:basedOn w:val="Normal"/>
    <w:next w:val="BodyText"/>
    <w:qFormat/>
    <w:rsid w:val="00641073"/>
    <w:pPr>
      <w:keepNext/>
      <w:keepLines/>
      <w:spacing w:after="300" w:before="300"/>
    </w:pPr>
    <w:rPr>
      <w:rFonts w:cs="Times New Roman (Body CS)"/>
      <w:sz w:val="20"/>
      <w:szCs w:val="20"/>
    </w:rPr>
  </w:style>
  <w:style w:styleId="Bibliography" w:type="paragraph">
    <w:name w:val="Bibliography"/>
    <w:basedOn w:val="Normal"/>
    <w:qFormat/>
    <w:rsid w:val="004C5413"/>
    <w:pPr>
      <w:ind w:hanging="510" w:left="510"/>
    </w:p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E343F9"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rsid w:val="00E343F9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  <w:rsid w:val="00E343F9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E343F9"/>
    <w:pPr>
      <w:keepNext/>
    </w:pPr>
  </w:style>
  <w:style w:customStyle="1" w:styleId="ImageCaption" w:type="paragraph">
    <w:name w:val="Image Caption"/>
    <w:basedOn w:val="Caption"/>
    <w:rsid w:val="00E343F9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sid w:val="00E343F9"/>
    <w:rPr>
      <w:vertAlign w:val="superscript"/>
    </w:rPr>
  </w:style>
  <w:style w:styleId="Hyperlink" w:type="character">
    <w:name w:val="Hyperlink"/>
    <w:basedOn w:val="CaptionChar"/>
    <w:rsid w:val="00E343F9"/>
    <w:rPr>
      <w:rFonts w:ascii="Atkinson Hyperlegible" w:hAnsi="Atkinson Hyperlegible"/>
      <w:color w:val="0070C0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641073"/>
    <w:rPr>
      <w:color w:themeColor="followedHyperlink" w:val="800080"/>
      <w:u w:val="single"/>
    </w:rPr>
  </w:style>
  <w:style w:customStyle="1" w:styleId="BodyTextChar" w:type="character">
    <w:name w:val="Body Text Char"/>
    <w:basedOn w:val="DefaultParagraphFont"/>
    <w:link w:val="BodyText"/>
    <w:rsid w:val="00641073"/>
    <w:rPr>
      <w:rFonts w:ascii="Atkinson Hyperlegible" w:hAnsi="Atkinson Hyperlegible"/>
    </w:rPr>
  </w:style>
  <w:style w:styleId="NoteHeading" w:type="paragraph">
    <w:name w:val="Note Heading"/>
    <w:basedOn w:val="Normal"/>
    <w:next w:val="Normal"/>
    <w:link w:val="NoteHeadingChar"/>
    <w:rsid w:val="00CF50C1"/>
    <w:pPr>
      <w:spacing w:after="0"/>
    </w:pPr>
  </w:style>
  <w:style w:customStyle="1" w:styleId="NoteHeadingChar" w:type="character">
    <w:name w:val="Note Heading Char"/>
    <w:basedOn w:val="DefaultParagraphFont"/>
    <w:link w:val="NoteHeading"/>
    <w:rsid w:val="00CF50C1"/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1" Target="media/rId31.png" /><Relationship Type="http://schemas.openxmlformats.org/officeDocument/2006/relationships/image" Id="rId20" Target="media/rId20.png" /><Relationship Type="http://schemas.openxmlformats.org/officeDocument/2006/relationships/hyperlink" Id="rId43" Target="https://quarto.org/docs/presentations/revealjs/#color-backgrounds" TargetMode="External" /><Relationship Type="http://schemas.openxmlformats.org/officeDocument/2006/relationships/hyperlink" Id="rId45" Target="https://quarto.org/docs/presentations/revealjs/#image-backgrounds" TargetMode="External" /><Relationship Type="http://schemas.openxmlformats.org/officeDocument/2006/relationships/hyperlink" Id="rId47" Target="https://quarto.org/docs/presentations/revealjs/advanced.html#absolute-position" TargetMode="External" /><Relationship Type="http://schemas.openxmlformats.org/officeDocument/2006/relationships/hyperlink" Id="rId49" Target="https://quarto.org/docs/presentations/revealjs/advanced.html#auto-animate" TargetMode="External" /><Relationship Type="http://schemas.openxmlformats.org/officeDocument/2006/relationships/hyperlink" Id="rId40" Target="https://quarto.org/docs/presentations/revealjs/advanced.html#fragments" TargetMode="External" /><Relationship Type="http://schemas.openxmlformats.org/officeDocument/2006/relationships/hyperlink" Id="rId41" Target="https://quarto.org/docs/presentations/revealjs/presenting.html#chalkboar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3" Target="https://quarto.org/docs/presentations/revealjs/#color-backgrounds" TargetMode="External" /><Relationship Type="http://schemas.openxmlformats.org/officeDocument/2006/relationships/hyperlink" Id="rId45" Target="https://quarto.org/docs/presentations/revealjs/#image-backgrounds" TargetMode="External" /><Relationship Type="http://schemas.openxmlformats.org/officeDocument/2006/relationships/hyperlink" Id="rId47" Target="https://quarto.org/docs/presentations/revealjs/advanced.html#absolute-position" TargetMode="External" /><Relationship Type="http://schemas.openxmlformats.org/officeDocument/2006/relationships/hyperlink" Id="rId49" Target="https://quarto.org/docs/presentations/revealjs/advanced.html#auto-animate" TargetMode="External" /><Relationship Type="http://schemas.openxmlformats.org/officeDocument/2006/relationships/hyperlink" Id="rId40" Target="https://quarto.org/docs/presentations/revealjs/advanced.html#fragments" TargetMode="External" /><Relationship Type="http://schemas.openxmlformats.org/officeDocument/2006/relationships/hyperlink" Id="rId41" Target="https://quarto.org/docs/presentations/revealjs/presenting.html#chalkboar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Welcome to Research Methods in Year 2</dc:title>
  <dc:creator>Dr. Gordon Wright</dc:creator>
  <cp:keywords/>
  <dcterms:created xsi:type="dcterms:W3CDTF">2023-09-18T17:25:22Z</dcterms:created>
  <dcterms:modified xsi:type="dcterms:W3CDTF">2023-09-18T17:25:22Z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y-author">
    <vt:lpwstr/>
  </property>
  <property fmtid="{D5CDD505-2E9C-101B-9397-08002B2CF9AE}" pid="7" name="csl">
    <vt:lpwstr>../apa7.csl</vt:lpwstr>
  </property>
  <property fmtid="{D5CDD505-2E9C-101B-9397-08002B2CF9AE}" pid="8" name="date-format">
    <vt:lpwstr>dddd, DD MMMM, YYYY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modulecode">
    <vt:lpwstr>PS52007D</vt:lpwstr>
  </property>
  <property fmtid="{D5CDD505-2E9C-101B-9397-08002B2CF9AE}" pid="15" name="toc-title">
    <vt:lpwstr>Table of contents</vt:lpwstr>
  </property>
</Properties>
</file>