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45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Overview</w:t>
      </w:r>
      <w:r>
        <w:t xml:space="preserve"> </w:t>
      </w:r>
      <w:r>
        <w:t xml:space="preserve">and</w:t>
      </w:r>
      <w:r>
        <w:t xml:space="preserve"> </w:t>
      </w:r>
      <w:r>
        <w:t xml:space="preserve">Coursework</w:t>
      </w:r>
      <w:r>
        <w:t xml:space="preserve"> </w:t>
      </w:r>
      <w:r>
        <w:t xml:space="preserve">Requirements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37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5"/>
        <w:gridCol w:w="4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End w:id="37"/>
    <w:bookmarkStart w:id="61" w:name="induction-overview"/>
    <w:p>
      <w:pPr>
        <w:pStyle w:val="Heading1"/>
      </w:pPr>
      <w:r>
        <w:t xml:space="preserve">Induction Overview</w:t>
      </w:r>
    </w:p>
    <w:bookmarkStart w:id="38" w:name="X3ae536ff1d388f5f3007ed98cdc4041b4050346"/>
    <w:p>
      <w:pPr>
        <w:pStyle w:val="Heading2"/>
      </w:pPr>
      <w:r>
        <w:t xml:space="preserve">Welcome back and welcome to Research Methods!</w:t>
      </w:r>
    </w:p>
    <w:bookmarkEnd w:id="38"/>
    <w:bookmarkStart w:id="39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2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2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2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2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design)</w:t>
      </w:r>
    </w:p>
    <w:p>
      <w:pPr>
        <w:numPr>
          <w:ilvl w:val="0"/>
          <w:numId w:val="1002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2"/>
        </w:numPr>
        <w:pStyle w:val="Compact"/>
      </w:pPr>
      <w:r>
        <w:t xml:space="preserve">Collect REAL data</w:t>
      </w:r>
    </w:p>
    <w:p>
      <w:pPr>
        <w:numPr>
          <w:ilvl w:val="0"/>
          <w:numId w:val="1002"/>
        </w:numPr>
        <w:pStyle w:val="Compact"/>
      </w:pPr>
      <w:r>
        <w:t xml:space="preserve">Analyse these data</w:t>
      </w:r>
    </w:p>
    <w:p>
      <w:pPr>
        <w:numPr>
          <w:ilvl w:val="0"/>
          <w:numId w:val="1002"/>
        </w:numPr>
        <w:pStyle w:val="Compact"/>
      </w:pPr>
      <w:r>
        <w:t xml:space="preserve">Write up the results in APA format</w:t>
      </w:r>
    </w:p>
    <w:bookmarkEnd w:id="39"/>
    <w:bookmarkStart w:id="40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40"/>
    <w:bookmarkStart w:id="41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3"/>
        </w:numPr>
        <w:pStyle w:val="Compact"/>
      </w:pPr>
      <w:r>
        <w:t xml:space="preserve">The same 20-week timeline</w:t>
      </w:r>
    </w:p>
    <w:p>
      <w:pPr>
        <w:numPr>
          <w:ilvl w:val="0"/>
          <w:numId w:val="1003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3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3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3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3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3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41"/>
    <w:bookmarkStart w:id="42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4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4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4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4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42"/>
    <w:bookmarkStart w:id="43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than this.</w:t>
      </w:r>
      <w:r>
        <w:t xml:space="preserve"> </w:t>
      </w:r>
      <w:r>
        <w:t xml:space="preserve">Please talk to me! Help me get to know you!</w:t>
      </w:r>
    </w:p>
    <w:bookmarkEnd w:id="43"/>
    <w:bookmarkStart w:id="44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6"/>
        </w:numPr>
      </w:pPr>
      <w:r>
        <w:t xml:space="preserve">Critical Proposal 1,800 words (15%)</w:t>
      </w:r>
    </w:p>
    <w:p>
      <w:pPr>
        <w:numPr>
          <w:ilvl w:val="1"/>
          <w:numId w:val="1006"/>
        </w:numPr>
      </w:pPr>
      <w:r>
        <w:t xml:space="preserve">Mini-Dissertation 2,500 words (70%)</w:t>
      </w:r>
    </w:p>
    <w:p>
      <w:pPr>
        <w:numPr>
          <w:ilvl w:val="1"/>
          <w:numId w:val="1006"/>
        </w:numPr>
      </w:pPr>
      <w:r>
        <w:t xml:space="preserve">CHIP Learning Log 1,200 words (15%)</w:t>
      </w:r>
    </w:p>
    <w:bookmarkEnd w:id="44"/>
    <w:bookmarkStart w:id="48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48"/>
    <w:bookmarkStart w:id="49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49"/>
    <w:bookmarkStart w:id="50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Preparation</w:t>
      </w:r>
      <w:r>
        <w:t xml:space="preserve">’</w:t>
      </w:r>
      <w:r>
        <w:t xml:space="preserve"> </w:t>
      </w:r>
      <w:r>
        <w:t xml:space="preserve">designed to</w:t>
      </w:r>
      <w:r>
        <w:t xml:space="preserve"> </w:t>
      </w:r>
      <w:r>
        <w:t xml:space="preserve">introduce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 week ahead and recording posted afterwards)</w:t>
      </w:r>
    </w:p>
    <w:p>
      <w:pPr>
        <w:pStyle w:val="BodyText"/>
      </w:pPr>
      <w:r>
        <w:rPr>
          <w:bCs/>
          <w:b/>
        </w:rPr>
        <w:t xml:space="preserve">Labs</w:t>
      </w:r>
    </w:p>
    <w:p>
      <w:pPr>
        <w:numPr>
          <w:ilvl w:val="0"/>
          <w:numId w:val="1007"/>
        </w:numPr>
        <w:pStyle w:val="Compact"/>
      </w:pPr>
      <w:r>
        <w:t xml:space="preserve">Broad structure, but for you to use to advantage</w:t>
      </w:r>
    </w:p>
    <w:p>
      <w:pPr>
        <w:numPr>
          <w:ilvl w:val="0"/>
          <w:numId w:val="1007"/>
        </w:numPr>
        <w:pStyle w:val="Compact"/>
      </w:pPr>
      <w:r>
        <w:t xml:space="preserve">Attendance QR code up for 15 minutes, and the first 15 minutes is</w:t>
      </w:r>
      <w:r>
        <w:t xml:space="preserve"> </w:t>
      </w:r>
      <w:r>
        <w:t xml:space="preserve">for you to get yourself sorted out as a group</w:t>
      </w:r>
    </w:p>
    <w:p>
      <w:pPr>
        <w:numPr>
          <w:ilvl w:val="0"/>
          <w:numId w:val="1007"/>
        </w:numPr>
        <w:pStyle w:val="Compact"/>
      </w:pPr>
      <w:r>
        <w:t xml:space="preserve">Your Lab Tutor will give a 10-15 minute overview of what you could</w:t>
      </w:r>
      <w:r>
        <w:t xml:space="preserve"> </w:t>
      </w:r>
      <w:r>
        <w:t xml:space="preserve">be doing, and a survey of the resources/materials provided</w:t>
      </w:r>
    </w:p>
    <w:p>
      <w:pPr>
        <w:numPr>
          <w:ilvl w:val="0"/>
          <w:numId w:val="1007"/>
        </w:numPr>
        <w:pStyle w:val="Compact"/>
      </w:pPr>
      <w:r>
        <w:t xml:space="preserve">If you need support, make yourself known as your Lab Tutor (or I)</w:t>
      </w:r>
      <w:r>
        <w:t xml:space="preserve"> </w:t>
      </w:r>
      <w:r>
        <w:t xml:space="preserve">tour the lab(s)</w:t>
      </w:r>
    </w:p>
    <w:p>
      <w:pPr>
        <w:numPr>
          <w:ilvl w:val="0"/>
          <w:numId w:val="1007"/>
        </w:numPr>
        <w:pStyle w:val="Compact"/>
      </w:pPr>
      <w:r>
        <w:t xml:space="preserve">You can (and should) ask any questions that occur to you. The labs</w:t>
      </w:r>
      <w:r>
        <w:t xml:space="preserve"> </w:t>
      </w:r>
      <w:r>
        <w:t xml:space="preserve">are for this purpose. Your Lab Tutor will not be responding to</w:t>
      </w:r>
      <w:r>
        <w:t xml:space="preserve"> </w:t>
      </w:r>
      <w:r>
        <w:t xml:space="preserve">emails outside of lab sessions</w:t>
      </w:r>
    </w:p>
    <w:p>
      <w:pPr>
        <w:numPr>
          <w:ilvl w:val="0"/>
          <w:numId w:val="1007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50"/>
    <w:bookmarkStart w:id="51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51"/>
    <w:bookmarkStart w:id="52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52"/>
    <w:bookmarkStart w:id="53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53"/>
    <w:bookmarkStart w:id="54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54"/>
    <w:bookmarkStart w:id="60" w:name="references"/>
    <w:p>
      <w:pPr>
        <w:pStyle w:val="Heading2"/>
      </w:pPr>
      <w:r>
        <w:t xml:space="preserve">References</w:t>
      </w:r>
    </w:p>
    <w:bookmarkStart w:id="59" w:name="refs"/>
    <w:bookmarkStart w:id="56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55">
        <w:r>
          <w:rPr>
            <w:rStyle w:val="Hyperlink"/>
          </w:rPr>
          <w:t xml:space="preserve">https://doi.org/10.1037/0033-2909.112.1.155</w:t>
        </w:r>
      </w:hyperlink>
    </w:p>
    <w:bookmarkEnd w:id="56"/>
    <w:bookmarkStart w:id="58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57">
        <w:r>
          <w:rPr>
            <w:rStyle w:val="Hyperlink"/>
          </w:rPr>
          <w:t xml:space="preserve">https://doi.org/10.3389/fnhum.2012.00087</w:t>
        </w:r>
      </w:hyperlink>
    </w:p>
    <w:bookmarkEnd w:id="58"/>
    <w:bookmarkEnd w:id="59"/>
    <w:bookmarkEnd w:id="60"/>
    <w:bookmarkEnd w:id="61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hyperlink" Id="rId55" Target="https://doi.org/10.1037/0033-2909.112.1.155" TargetMode="External" /><Relationship Type="http://schemas.openxmlformats.org/officeDocument/2006/relationships/hyperlink" Id="rId57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doi.org/10.1037/0033-2909.112.1.155" TargetMode="External" /><Relationship Type="http://schemas.openxmlformats.org/officeDocument/2006/relationships/hyperlink" Id="rId57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2023-09-18T17:25:15Z</dcterms:created>
  <dcterms:modified xsi:type="dcterms:W3CDTF">2023-09-18T17:25:15Z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../apa7.csl</vt:lpwstr>
  </property>
  <property fmtid="{D5CDD505-2E9C-101B-9397-08002B2CF9AE}" pid="10" name="date">
    <vt:lpwstr>September 25,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footer">
    <vt:lpwstr>🔗 VLE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Module Overview and Coursework Requirements</vt:lpwstr>
  </property>
  <property fmtid="{D5CDD505-2E9C-101B-9397-08002B2CF9AE}" pid="23" name="toc-title">
    <vt:lpwstr>Table of contents</vt:lpwstr>
  </property>
</Properties>
</file>