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44.png" ContentType="image/png"/>
  <Override PartName="/word/media/rId36.png" ContentType="image/png"/>
  <Override PartName="/word/media/rId48.png" ContentType="image/png"/>
  <Override PartName="/word/media/rId40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Lecture00</w:t>
      </w:r>
    </w:p>
    <w:p>
      <w:pPr>
        <w:pStyle w:val="Subtitle"/>
      </w:pPr>
      <w:r>
        <w:t xml:space="preserve">Induction</w:t>
      </w:r>
      <w:r>
        <w:t xml:space="preserve"> </w:t>
      </w:r>
      <w:r>
        <w:t xml:space="preserve">Week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27,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32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FirstParagraph"/>
      </w:pPr>
      <w:r>
        <w:t xml:space="preserve">The same 20-week timeline</w:t>
      </w:r>
    </w:p>
    <w:p>
      <w:pPr>
        <w:pStyle w:val="BodyText"/>
      </w:pPr>
      <w:r>
        <w:t xml:space="preserve">The same skills and techniques you will need</w:t>
      </w:r>
    </w:p>
    <w:p>
      <w:pPr>
        <w:pStyle w:val="BodyText"/>
      </w:pPr>
      <w:r>
        <w:t xml:space="preserve">Careful step-by-step guidance and support in the lab setting</w:t>
      </w:r>
    </w:p>
    <w:p>
      <w:pPr>
        <w:pStyle w:val="BodyText"/>
      </w:pPr>
      <w:r>
        <w:t xml:space="preserve">Scaled-down experiments and write-ups</w:t>
      </w:r>
    </w:p>
    <w:p>
      <w:pPr>
        <w:pStyle w:val="BodyText"/>
      </w:pPr>
      <w:r>
        <w:t xml:space="preserve">The security of working in a group</w:t>
      </w:r>
    </w:p>
    <w:p>
      <w:pPr>
        <w:pStyle w:val="BodyText"/>
      </w:pPr>
      <w:r>
        <w:t xml:space="preserve">Tips and advice from world-class researchers</w:t>
      </w:r>
    </w:p>
    <w:p>
      <w:pPr>
        <w:pStyle w:val="BodyText"/>
      </w:pPr>
      <w:r>
        <w:t xml:space="preserve">Opportunity to think carefully about your final year Dissertation, and</w:t>
      </w:r>
      <w:r>
        <w:t xml:space="preserve"> </w:t>
      </w:r>
      <w:r>
        <w:t xml:space="preserve">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FirstParagraph"/>
      </w:pPr>
      <w:r>
        <w:t xml:space="preserve">Gordon Wright (Module Coordinator and floating Enthusiast in Chief)</w:t>
      </w:r>
    </w:p>
    <w:p>
      <w:pPr>
        <w:pStyle w:val="BodyText"/>
      </w:pPr>
      <w:r>
        <w:t xml:space="preserve">7 gobsmackingly amazing Lab Tutors</w:t>
      </w:r>
    </w:p>
    <w:p>
      <w:pPr>
        <w:pStyle w:val="BodyText"/>
      </w:pPr>
      <w:r>
        <w:t xml:space="preserve">Your Personal Tutor and your PT group</w:t>
      </w:r>
    </w:p>
    <w:p>
      <w:pPr>
        <w:pStyle w:val="BodyText"/>
      </w:pPr>
      <w:r>
        <w:t xml:space="preserve">AND EACH OTHER!!</w:t>
      </w:r>
    </w:p>
    <w:p>
      <w:pPr>
        <w:pStyle w:val="BodyText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I</w:t>
      </w:r>
      <w:r>
        <w:t xml:space="preserve"> </w:t>
      </w:r>
      <w:r>
        <w:t xml:space="preserve">love Research, and vehemently believe it is the #1 skill EVERYONE should</w:t>
      </w:r>
      <w:r>
        <w:t xml:space="preserve"> </w:t>
      </w:r>
      <w:r>
        <w:t xml:space="preserve">have… not just psychology students… EVERYONE!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0"/>
          <w:numId w:val="1002"/>
        </w:numPr>
      </w:pPr>
      <w:r>
        <w:t xml:space="preserve">Critical Proposal 1,800 words (15%)</w:t>
      </w:r>
    </w:p>
    <w:p>
      <w:pPr>
        <w:numPr>
          <w:ilvl w:val="0"/>
          <w:numId w:val="1002"/>
        </w:numPr>
      </w:pPr>
      <w:r>
        <w:t xml:space="preserve">Mini-Dissertation 2,500 words (70%)</w:t>
      </w:r>
    </w:p>
    <w:p>
      <w:pPr>
        <w:numPr>
          <w:ilvl w:val="0"/>
          <w:numId w:val="1002"/>
        </w:numPr>
      </w:pPr>
      <w:r>
        <w:t xml:space="preserve">CHIP Learning Log 2x700 words (15%)</w:t>
      </w:r>
    </w:p>
    <w:p>
      <w:pPr>
        <w:pStyle w:val="FirstParagraph"/>
      </w:pPr>
      <w:r>
        <w:t xml:space="preserve">All coursework is INDIVIDUAL and subject to normal plagiarism and</w:t>
      </w:r>
      <w:r>
        <w:t xml:space="preserve"> </w:t>
      </w:r>
      <w:r>
        <w:t xml:space="preserve">collusion rules</w:t>
      </w:r>
    </w:p>
    <w:bookmarkEnd w:id="26"/>
    <w:bookmarkStart w:id="27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p>
      <w:pPr>
        <w:pStyle w:val="BodyText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t xml:space="preserve">Prelude</w:t>
      </w:r>
      <w:r>
        <w:t xml:space="preserve">’</w:t>
      </w:r>
      <w:r>
        <w:t xml:space="preserve"> </w:t>
      </w:r>
      <w:r>
        <w:t xml:space="preserve">designed to introduce one</w:t>
      </w:r>
      <w:r>
        <w:t xml:space="preserve"> </w:t>
      </w:r>
      <w:r>
        <w:t xml:space="preserve">of the main topics of the week</w:t>
      </w:r>
    </w:p>
    <w:p>
      <w:pPr>
        <w:pStyle w:val="BodyText"/>
      </w:pPr>
      <w:r>
        <w:t xml:space="preserve">Lecture (slides and recording)</w:t>
      </w:r>
    </w:p>
    <w:p>
      <w:pPr>
        <w:pStyle w:val="BodyText"/>
      </w:pPr>
      <w:r>
        <w:t xml:space="preserve">Lab Activity</w:t>
      </w:r>
    </w:p>
    <w:p>
      <w:pPr>
        <w:pStyle w:val="BodyText"/>
      </w:pPr>
      <w:r>
        <w:t xml:space="preserve">‘</w:t>
      </w:r>
      <w:r>
        <w:t xml:space="preserve">Pulse</w:t>
      </w:r>
      <w:r>
        <w:t xml:space="preserve">’</w:t>
      </w:r>
      <w:r>
        <w:t xml:space="preserve"> </w:t>
      </w:r>
      <w:r>
        <w:t xml:space="preserve">taken on entry</w:t>
      </w:r>
    </w:p>
    <w:p>
      <w:pPr>
        <w:pStyle w:val="BodyText"/>
      </w:pPr>
      <w:r>
        <w:t xml:space="preserve">Lab Notebook 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</w:t>
      </w:r>
      <w:r>
        <w:t xml:space="preserve"> </w:t>
      </w:r>
      <w:r>
        <w:t xml:space="preserve">metacognitive reflection</w:t>
      </w:r>
    </w:p>
    <w:p>
      <w:pPr>
        <w:pStyle w:val="BodyTex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pStyle w:val="BodyText"/>
      </w:pPr>
      <w:r>
        <w:t xml:space="preserve">Extensive independent and group work in addition to timetabled</w:t>
      </w:r>
      <w:r>
        <w:t xml:space="preserve"> </w:t>
      </w:r>
      <w:r>
        <w:t xml:space="preserve">activities</w:t>
      </w:r>
    </w:p>
    <w:p>
      <w:pPr>
        <w:pStyle w:val="BodyText"/>
      </w:pPr>
      <w:r>
        <w:t xml:space="preserve">NO EXAM</w:t>
      </w:r>
    </w:p>
    <w:bookmarkEnd w:id="27"/>
    <w:bookmarkStart w:id="28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28"/>
    <w:bookmarkStart w:id="29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29"/>
    <w:bookmarkStart w:id="30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Contribution.</w:t>
      </w:r>
    </w:p>
    <w:p>
      <w:pPr>
        <w:pStyle w:val="BodyText"/>
      </w:pPr>
      <w:r>
        <w:t xml:space="preserve">Open Educational Resources.</w:t>
      </w:r>
    </w:p>
    <w:bookmarkEnd w:id="30"/>
    <w:bookmarkStart w:id="31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p>
      <w:pPr>
        <w:pStyle w:val="BodyText"/>
      </w:pPr>
      <w:r>
        <w:t xml:space="preserve">___________________________________________________________________________________</w:t>
      </w:r>
    </w:p>
    <w:bookmarkEnd w:id="31"/>
    <w:bookmarkEnd w:id="32"/>
    <w:bookmarkStart w:id="69" w:name="new-section"/>
    <w:p>
      <w:pPr>
        <w:pStyle w:val="Heading1"/>
      </w:pPr>
      <w:r>
        <w:t xml:space="preserve">New Section</w:t>
      </w:r>
    </w:p>
    <w:bookmarkStart w:id="33" w:name="bullet-list-no-build"/>
    <w:p>
      <w:pPr>
        <w:pStyle w:val="Heading2"/>
      </w:pPr>
      <w:r>
        <w:t xml:space="preserve">Bullet List (no build)</w:t>
      </w:r>
    </w:p>
    <w:p>
      <w:pPr>
        <w:numPr>
          <w:ilvl w:val="0"/>
          <w:numId w:val="1003"/>
        </w:numPr>
      </w:pPr>
      <w:r>
        <w:t xml:space="preserve">Point 1</w:t>
      </w:r>
    </w:p>
    <w:p>
      <w:pPr>
        <w:numPr>
          <w:ilvl w:val="0"/>
          <w:numId w:val="1003"/>
        </w:numPr>
      </w:pPr>
      <w:r>
        <w:t xml:space="preserve">Point 2</w:t>
      </w:r>
    </w:p>
    <w:p>
      <w:pPr>
        <w:numPr>
          <w:ilvl w:val="0"/>
          <w:numId w:val="1003"/>
        </w:numPr>
      </w:pPr>
      <w:r>
        <w:t xml:space="preserve">Point 3</w:t>
      </w:r>
    </w:p>
    <w:bookmarkEnd w:id="33"/>
    <w:bookmarkStart w:id="34" w:name="bullet-list-with-build"/>
    <w:p>
      <w:pPr>
        <w:pStyle w:val="Heading2"/>
      </w:pPr>
      <w:r>
        <w:t xml:space="preserve">Bullet List (with build)</w:t>
      </w:r>
    </w:p>
    <w:p>
      <w:pPr>
        <w:numPr>
          <w:ilvl w:val="0"/>
          <w:numId w:val="1004"/>
        </w:numPr>
        <w:pStyle w:val="Compact"/>
      </w:pPr>
      <w:r>
        <w:t xml:space="preserve">List element A</w:t>
      </w:r>
    </w:p>
    <w:p>
      <w:pPr>
        <w:numPr>
          <w:ilvl w:val="0"/>
          <w:numId w:val="1004"/>
        </w:numPr>
        <w:pStyle w:val="Compact"/>
      </w:pPr>
      <w:r>
        <w:t xml:space="preserve">List element B</w:t>
      </w:r>
    </w:p>
    <w:p>
      <w:pPr>
        <w:numPr>
          <w:ilvl w:val="0"/>
          <w:numId w:val="1004"/>
        </w:numPr>
        <w:pStyle w:val="Compact"/>
      </w:pPr>
      <w:r>
        <w:t xml:space="preserve">List element C</w:t>
      </w:r>
    </w:p>
    <w:bookmarkEnd w:id="34"/>
    <w:bookmarkStart w:id="35" w:name="page-with-aside"/>
    <w:p>
      <w:pPr>
        <w:pStyle w:val="Heading2"/>
      </w:pPr>
      <w:r>
        <w:t xml:space="preserve">Page with aside</w:t>
      </w:r>
    </w:p>
    <w:p>
      <w:pPr>
        <w:pStyle w:val="FirstParagraph"/>
      </w:pPr>
      <w:r>
        <w:t xml:space="preserve">Here is an important point</w:t>
      </w:r>
    </w:p>
    <w:p>
      <w:pPr>
        <w:pStyle w:val="BodyText"/>
      </w:pPr>
      <w:r>
        <w:t xml:space="preserve">Additional commentary.</w:t>
      </w:r>
    </w:p>
    <w:bookmarkEnd w:id="35"/>
    <w:bookmarkStart w:id="39" w:name="page-with-a-note-comment"/>
    <w:p>
      <w:pPr>
        <w:pStyle w:val="Heading2"/>
      </w:pPr>
      <w:r>
        <w:t xml:space="preserve">Page with a note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noteworthy</w:t>
            </w:r>
          </w:p>
        </w:tc>
      </w:tr>
    </w:tbl>
    <w:bookmarkEnd w:id="39"/>
    <w:bookmarkStart w:id="43" w:name="page-with-a-warning"/>
    <w:p>
      <w:pPr>
        <w:pStyle w:val="Heading2"/>
      </w:pPr>
      <w:r>
        <w:t xml:space="preserve">Page with a warning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Be WARNED!!</w:t>
            </w:r>
          </w:p>
        </w:tc>
      </w:tr>
    </w:tbl>
    <w:bookmarkEnd w:id="43"/>
    <w:bookmarkStart w:id="47" w:name="page-with-an-important-comment"/>
    <w:p>
      <w:pPr>
        <w:pStyle w:val="Heading2"/>
      </w:pPr>
      <w:r>
        <w:t xml:space="preserve">Page with an important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Important</w:t>
            </w:r>
          </w:p>
        </w:tc>
      </w:tr>
    </w:tbl>
    <w:bookmarkEnd w:id="47"/>
    <w:bookmarkStart w:id="51" w:name="page-with-a-tip"/>
    <w:p>
      <w:pPr>
        <w:pStyle w:val="Heading2"/>
      </w:pPr>
      <w:r>
        <w:t xml:space="preserve">Page with a tip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useful tip</w:t>
            </w:r>
          </w:p>
        </w:tc>
      </w:tr>
    </w:tbl>
    <w:bookmarkEnd w:id="51"/>
    <w:bookmarkStart w:id="55" w:name="page-with-a-caution"/>
    <w:p>
      <w:pPr>
        <w:pStyle w:val="Heading2"/>
      </w:pPr>
      <w:r>
        <w:t xml:space="preserve">Page with a caution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something to be cautious about</w:t>
            </w:r>
          </w:p>
        </w:tc>
      </w:tr>
    </w:tbl>
    <w:bookmarkEnd w:id="55"/>
    <w:bookmarkStart w:id="56" w:name="two-columns-text"/>
    <w:p>
      <w:pPr>
        <w:pStyle w:val="Heading2"/>
      </w:pPr>
      <w:r>
        <w:t xml:space="preserve">Two Columns (Text)</w:t>
      </w:r>
    </w:p>
    <w:p>
      <w:pPr>
        <w:pStyle w:val="FirstParagraph"/>
      </w:pPr>
      <w:r>
        <w:t xml:space="preserve">Left column</w:t>
      </w:r>
    </w:p>
    <w:p>
      <w:pPr>
        <w:pStyle w:val="BodyText"/>
      </w:pPr>
      <w:r>
        <w:t xml:space="preserve">Right column</w:t>
      </w:r>
    </w:p>
    <w:bookmarkEnd w:id="56"/>
    <w:bookmarkStart w:id="60" w:name="two-columns-text-image"/>
    <w:p>
      <w:pPr>
        <w:pStyle w:val="Heading2"/>
      </w:pPr>
      <w:r>
        <w:t xml:space="preserve">Two Columns (Text + Image)</w:t>
      </w:r>
    </w:p>
    <w:p>
      <w:pPr>
        <w:pStyle w:val="FirstParagraph"/>
      </w:pPr>
      <w:r>
        <w:t xml:space="preserve">Left column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905000" cy="19050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s/LMLLOGO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LittleMonkeyLab</w:t>
            </w:r>
          </w:p>
        </w:tc>
      </w:tr>
    </w:tbl>
    <w:bookmarkEnd w:id="60"/>
    <w:bookmarkStart w:id="62" w:name="slide-with-different-background-colour"/>
    <w:p>
      <w:pPr>
        <w:pStyle w:val="Heading2"/>
      </w:pPr>
      <w:r>
        <w:t xml:space="preserve">Slide with different background colour</w:t>
      </w:r>
    </w:p>
    <w:p>
      <w:pPr>
        <w:pStyle w:val="FirstParagraph"/>
      </w:pPr>
      <w:r>
        <w:t xml:space="preserve">Shout</w:t>
      </w:r>
    </w:p>
    <w:p>
      <w:pPr>
        <w:pStyle w:val="BodyText"/>
      </w:pPr>
      <w:r>
        <w:t xml:space="preserve">Question</w:t>
      </w:r>
    </w:p>
    <w:p>
      <w:pPr>
        <w:pStyle w:val="BodyText"/>
      </w:pPr>
      <w:r>
        <w:t xml:space="preserve">takeaway</w:t>
      </w:r>
    </w:p>
    <w:p>
      <w:pPr>
        <w:pStyle w:val="BodyText"/>
      </w:pPr>
      <w:hyperlink r:id="rId61">
        <w:r>
          <w:rPr>
            <w:rStyle w:val="Hyperlink"/>
          </w:rPr>
          <w:t xml:space="preserve">A link to the BBC website</w:t>
        </w:r>
      </w:hyperlink>
    </w:p>
    <w:bookmarkEnd w:id="62"/>
    <w:bookmarkStart w:id="63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Here is some content</w:t>
      </w:r>
    </w:p>
    <w:p>
      <w:pPr>
        <w:pStyle w:val="notes"/>
      </w:pPr>
      <w:r>
        <w:t xml:space="preserve">Speaker notes (press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when presenting to switch to speaker mode).</w:t>
      </w:r>
    </w:p>
    <w:bookmarkEnd w:id="63"/>
    <w:bookmarkStart w:id="66" w:name="here-is-a-2-panel-tabset"/>
    <w:p>
      <w:pPr>
        <w:pStyle w:val="Heading2"/>
      </w:pPr>
      <w:r>
        <w:t xml:space="preserve">Here is a 2 panel tabset</w:t>
      </w:r>
    </w:p>
    <w:bookmarkStart w:id="64" w:name="tab-a"/>
    <w:p>
      <w:pPr>
        <w:pStyle w:val="Heading4"/>
      </w:pPr>
      <w:r>
        <w:t xml:space="preserve">Tab A</w:t>
      </w:r>
    </w:p>
    <w:p>
      <w:pPr>
        <w:pStyle w:val="FirstParagraph"/>
      </w:pPr>
      <w:r>
        <w:t xml:space="preserve">Content for Tab A</w:t>
      </w:r>
    </w:p>
    <w:bookmarkEnd w:id="64"/>
    <w:bookmarkStart w:id="65" w:name="tab-b"/>
    <w:p>
      <w:pPr>
        <w:pStyle w:val="Heading4"/>
      </w:pPr>
      <w:r>
        <w:t xml:space="preserve">Tab B</w:t>
      </w:r>
    </w:p>
    <w:p>
      <w:pPr>
        <w:pStyle w:val="FirstParagraph"/>
      </w:pPr>
      <w:r>
        <w:t xml:space="preserve">Content for Tab B</w:t>
      </w:r>
    </w:p>
    <w:bookmarkEnd w:id="65"/>
    <w:bookmarkEnd w:id="66"/>
    <w:bookmarkStart w:id="68" w:name="slide-with-footnote"/>
    <w:p>
      <w:pPr>
        <w:pStyle w:val="Heading2"/>
      </w:pPr>
      <w:r>
        <w:t xml:space="preserve">Slide with footnote</w:t>
      </w:r>
    </w:p>
    <w:p>
      <w:pPr>
        <w:pStyle w:val="FirstParagraph"/>
      </w:pPr>
      <w:r>
        <w:t xml:space="preserve">Very important point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made to the class</w:t>
      </w:r>
    </w:p>
    <w:bookmarkEnd w:id="68"/>
    <w:bookmarkEnd w:id="69"/>
    <w:bookmarkStart w:id="76" w:name="section-heading-2007"/>
    <w:p>
      <w:pPr>
        <w:pStyle w:val="Heading1"/>
      </w:pPr>
      <w:r>
        <w:t xml:space="preserve">Section heading 2007</w:t>
      </w:r>
    </w:p>
    <w:p>
      <w:pPr>
        <w:pStyle w:val="FirstParagraph"/>
      </w:pPr>
      <w:r>
        <w:t xml:space="preserve">subtitle</w:t>
      </w:r>
    </w:p>
    <w:bookmarkStart w:id="72" w:name="columns-unequal-20-80"/>
    <w:p>
      <w:pPr>
        <w:pStyle w:val="Heading2"/>
      </w:pPr>
      <w:r>
        <w:t xml:space="preserve">2 columns unequal 20% 80%</w:t>
      </w:r>
    </w:p>
    <w:bookmarkStart w:id="70" w:name="list-one"/>
    <w:p>
      <w:pPr>
        <w:pStyle w:val="Heading3"/>
      </w:pPr>
      <w:r>
        <w:t xml:space="preserve">List One</w:t>
      </w:r>
    </w:p>
    <w:p>
      <w:pPr>
        <w:numPr>
          <w:ilvl w:val="0"/>
          <w:numId w:val="1005"/>
        </w:numPr>
        <w:pStyle w:val="Compact"/>
      </w:pPr>
      <w:r>
        <w:t xml:space="preserve">Item A</w:t>
      </w:r>
    </w:p>
    <w:p>
      <w:pPr>
        <w:numPr>
          <w:ilvl w:val="0"/>
          <w:numId w:val="1005"/>
        </w:numPr>
        <w:pStyle w:val="Compact"/>
      </w:pPr>
      <w:r>
        <w:t xml:space="preserve">Item B</w:t>
      </w:r>
    </w:p>
    <w:p>
      <w:pPr>
        <w:numPr>
          <w:ilvl w:val="0"/>
          <w:numId w:val="1005"/>
        </w:numPr>
        <w:pStyle w:val="Compact"/>
      </w:pPr>
      <w:r>
        <w:t xml:space="preserve">Item C</w:t>
      </w:r>
    </w:p>
    <w:bookmarkEnd w:id="70"/>
    <w:bookmarkStart w:id="71" w:name="list-two"/>
    <w:p>
      <w:pPr>
        <w:pStyle w:val="Heading3"/>
      </w:pPr>
      <w:r>
        <w:t xml:space="preserve">List Two</w:t>
      </w:r>
    </w:p>
    <w:p>
      <w:pPr>
        <w:numPr>
          <w:ilvl w:val="0"/>
          <w:numId w:val="1006"/>
        </w:numPr>
        <w:pStyle w:val="Compact"/>
      </w:pPr>
      <w:r>
        <w:t xml:space="preserve">Item X</w:t>
      </w:r>
    </w:p>
    <w:p>
      <w:pPr>
        <w:numPr>
          <w:ilvl w:val="0"/>
          <w:numId w:val="1006"/>
        </w:numPr>
        <w:pStyle w:val="Compact"/>
      </w:pPr>
      <w:r>
        <w:t xml:space="preserve">Item Y</w:t>
      </w:r>
    </w:p>
    <w:p>
      <w:pPr>
        <w:numPr>
          <w:ilvl w:val="0"/>
          <w:numId w:val="1006"/>
        </w:numPr>
        <w:pStyle w:val="Compact"/>
      </w:pPr>
      <w:r>
        <w:t xml:space="preserve">Item Z</w:t>
      </w:r>
    </w:p>
    <w:bookmarkEnd w:id="71"/>
    <w:bookmarkEnd w:id="72"/>
    <w:bookmarkStart w:id="73" w:name="X900ccf2cf3e871eefc3e18502caa2232020ecd6"/>
    <w:p>
      <w:pPr>
        <w:pStyle w:val="Heading2"/>
      </w:pPr>
      <w:r>
        <w:t xml:space="preserve">Level 2 centred text with break</w:t>
      </w:r>
      <w:r>
        <w:t xml:space="preserve"> </w:t>
      </w:r>
      <w:r>
        <w:t xml:space="preserve"> </w:t>
      </w:r>
      <w:r>
        <w:t xml:space="preserve">with striking takeaway background</w:t>
      </w:r>
    </w:p>
    <w:bookmarkEnd w:id="73"/>
    <w:bookmarkStart w:id="7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(Andorsky, 2020; Datu et al., 2021; King, 2021; Rice et al., 2021)</w:t>
      </w:r>
    </w:p>
    <w:bookmarkEnd w:id="74"/>
    <w:bookmarkStart w:id="75" w:name="speaker-notes-1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Include speaker notes in another fenced code block.</w:t>
      </w:r>
    </w:p>
    <w:p>
      <w:pPr>
        <w:pStyle w:val="notes"/>
      </w:pPr>
      <w:r>
        <w:t xml:space="preserve">Like this.</w:t>
      </w:r>
    </w:p>
    <w:bookmarkEnd w:id="75"/>
    <w:bookmarkEnd w:id="76"/>
    <w:bookmarkStart w:id="77" w:name="fragments-with-entrance"/>
    <w:p>
      <w:pPr>
        <w:pStyle w:val="Heading1"/>
      </w:pPr>
      <w:r>
        <w:t xml:space="preserve">Fragments with entrance</w:t>
      </w:r>
    </w:p>
    <w:p>
      <w:pPr>
        <w:pStyle w:val="FirstParagraph"/>
      </w:pPr>
      <w:r>
        <w:t xml:space="preserve">Fade in</w:t>
      </w:r>
    </w:p>
    <w:p>
      <w:pPr>
        <w:pStyle w:val="notes"/>
      </w:pPr>
      <w:r>
        <w:t xml:space="preserve">Fade out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Highlight current red (available in green and blue)</w:t>
      </w:r>
    </w:p>
    <w:p>
      <w:pPr>
        <w:pStyle w:val="BodyText"/>
      </w:pPr>
      <w:r>
        <w:t xml:space="preserve">Fade in, then out</w:t>
      </w:r>
    </w:p>
    <w:p>
      <w:pPr>
        <w:pStyle w:val="BodyText"/>
      </w:pPr>
      <w:r>
        <w:t xml:space="preserve">Fade in, then semi out</w:t>
      </w:r>
    </w:p>
    <w:p>
      <w:pPr>
        <w:pStyle w:val="BodyText"/>
      </w:pPr>
      <w:r>
        <w:t xml:space="preserve">Slide up while fading in</w:t>
      </w:r>
    </w:p>
    <w:bookmarkEnd w:id="77"/>
    <w:bookmarkStart w:id="85" w:name="references-1"/>
    <w:p>
      <w:pPr>
        <w:pStyle w:val="Heading1"/>
      </w:pPr>
      <w:r>
        <w:t xml:space="preserve">References</w:t>
      </w:r>
    </w:p>
    <w:bookmarkStart w:id="84" w:name="refs"/>
    <w:bookmarkStart w:id="78" w:name="ref-andorsky2020"/>
    <w:p>
      <w:pPr>
        <w:pStyle w:val="Bibliography"/>
      </w:pPr>
      <w:r>
        <w:t xml:space="preserve">Andorsky, N. (2020).</w:t>
      </w:r>
      <w:r>
        <w:t xml:space="preserve"> </w:t>
      </w:r>
      <w:r>
        <w:rPr>
          <w:iCs/>
          <w:i/>
        </w:rPr>
        <w:t xml:space="preserve">Decoding the why: How behavioral science is driving the next generation of product design</w:t>
      </w:r>
      <w:r>
        <w:t xml:space="preserve">.</w:t>
      </w:r>
    </w:p>
    <w:bookmarkEnd w:id="78"/>
    <w:bookmarkStart w:id="80" w:name="ref-datu2021"/>
    <w:p>
      <w:pPr>
        <w:pStyle w:val="Bibliography"/>
      </w:pPr>
      <w:r>
        <w:t xml:space="preserve">Datu, J. A. D., McInerney, D. M., Żemojtel-Piotrowska, M., Hitokoto, H., &amp; Datu, N. D. (2021). Is grittiness next to happiness? Examining the association of triarchic model of grit dimensions with well-being outcomes.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981–1009.</w:t>
      </w:r>
      <w:r>
        <w:t xml:space="preserve"> </w:t>
      </w:r>
      <w:hyperlink r:id="rId79">
        <w:r>
          <w:rPr>
            <w:rStyle w:val="Hyperlink"/>
          </w:rPr>
          <w:t xml:space="preserve">https://doi.org/10.1007/s10902-020-00260-6</w:t>
        </w:r>
      </w:hyperlink>
    </w:p>
    <w:bookmarkEnd w:id="80"/>
    <w:bookmarkStart w:id="81" w:name="ref-king2021"/>
    <w:p>
      <w:pPr>
        <w:pStyle w:val="Bibliography"/>
      </w:pPr>
      <w:r>
        <w:t xml:space="preserve">King, M. (2021).</w:t>
      </w:r>
      <w:r>
        <w:t xml:space="preserve"> </w:t>
      </w:r>
      <w:r>
        <w:rPr>
          <w:iCs/>
          <w:i/>
        </w:rPr>
        <w:t xml:space="preserve">Social chemistry: Decoding the patterns of human connection</w:t>
      </w:r>
      <w:r>
        <w:t xml:space="preserve">. Dutton.</w:t>
      </w:r>
    </w:p>
    <w:bookmarkEnd w:id="81"/>
    <w:bookmarkStart w:id="83" w:name="ref-rice2021"/>
    <w:p>
      <w:pPr>
        <w:pStyle w:val="Bibliography"/>
      </w:pPr>
      <w:r>
        <w:t xml:space="preserve">Rice, L., Alquist, J. L., Penuliar, M., Donato, F. V., &amp; Price, M. M. (2021). Engaging students in a research methods writing lab online.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(1), 18–25.</w:t>
      </w:r>
      <w:r>
        <w:t xml:space="preserve"> </w:t>
      </w:r>
      <w:hyperlink r:id="rId82">
        <w:r>
          <w:rPr>
            <w:rStyle w:val="Hyperlink"/>
          </w:rPr>
          <w:t xml:space="preserve">https://doi.org/10.1177/0098628320959954</w:t>
        </w:r>
      </w:hyperlink>
    </w:p>
    <w:bookmarkEnd w:id="83"/>
    <w:bookmarkEnd w:id="84"/>
    <w:bookmarkEnd w:id="85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343F9"/>
  </w:style>
  <w:style w:styleId="Heading1" w:type="paragraph">
    <w:name w:val="heading 1"/>
    <w:basedOn w:val="Normal"/>
    <w:next w:val="BodyText"/>
    <w:uiPriority w:val="9"/>
    <w:qFormat/>
    <w:rsid w:val="00641073"/>
    <w:pPr>
      <w:keepNext/>
      <w:keepLines/>
      <w:spacing w:after="0" w:before="480"/>
      <w:outlineLvl w:val="0"/>
    </w:pPr>
    <w:rPr>
      <w:rFonts w:ascii="Atkinson Hyperlegible" w:cstheme="majorBidi" w:eastAsiaTheme="majorEastAsia" w:hAnsi="Atkinson Hyperlegible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1"/>
    </w:pPr>
    <w:rPr>
      <w:rFonts w:ascii="Atkinson Hyperlegible" w:cstheme="majorBidi" w:eastAsiaTheme="majorEastAsia" w:hAnsi="Atkinson Hyperlegible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ascii="Atkinson Hyperlegible" w:cstheme="majorBidi" w:eastAsiaTheme="majorEastAsia" w:hAnsi="Atkinson Hyperlegible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ascii="Atkinson Hyperlegible" w:cstheme="majorBidi" w:eastAsiaTheme="majorEastAsia" w:hAnsi="Atkinson Hyperlegible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ascii="Atkinson Hyperlegible" w:cstheme="majorBidi" w:eastAsiaTheme="majorEastAsia" w:hAnsi="Atkinson Hyperlegible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ascii="Atkinson Hyperlegible" w:cstheme="majorBidi" w:eastAsiaTheme="majorEastAsia" w:hAnsi="Atkinson Hyperlegible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ascii="Atkinson Hyperlegible" w:cstheme="majorBidi" w:eastAsiaTheme="majorEastAsia" w:hAnsi="Atkinson Hyperlegible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ascii="Atkinson Hyperlegible" w:cstheme="majorBidi" w:eastAsiaTheme="majorEastAsia" w:hAnsi="Atkinson Hyperlegible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ascii="Atkinson Hyperlegible" w:cstheme="majorBidi" w:eastAsiaTheme="majorEastAsia" w:hAnsi="Atkinson Hyperlegible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  <w:rPr>
      <w:rFonts w:ascii="Atkinson Hyperlegible" w:hAnsi="Atkinson Hyperlegible"/>
    </w:r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ascii="Atkinson Hyperlegible" w:cstheme="majorBidi" w:eastAsiaTheme="majorEastAsia" w:hAnsi="Atkinson Hyperlegible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ascii="Atkinson Hyperlegible" w:cs="Times New Roman (Body CS)" w:hAnsi="Atkinson Hyperlegible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customStyle="1" w:styleId="Definition" w:type="paragraph">
    <w:name w:val="Definition"/>
    <w:basedOn w:val="Normal"/>
    <w:rsid w:val="00E343F9"/>
    <w:rPr>
      <w:rFonts w:ascii="Atkinson Hyperlegible" w:hAnsi="Atkinson Hyperlegible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customStyle="1" w:styleId="ImageCaption" w:type="paragraph">
    <w:name w:val="Image Caption"/>
    <w:basedOn w:val="Caption"/>
    <w:rsid w:val="00E343F9"/>
    <w:rPr>
      <w:rFonts w:ascii="Atkinson Hyperlegible" w:hAnsi="Atkinson Hyperlegible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type="paragraph" w:customStyle="1" w:styleId="notes">
    <w:name w:val="note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44" Target="media/rId44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57" Target="media/rId57.png" /><Relationship Type="http://schemas.openxmlformats.org/officeDocument/2006/relationships/hyperlink" Id="rId79" Target="https://doi.org/10.1007/s10902-020-00260-6" TargetMode="External" /><Relationship Type="http://schemas.openxmlformats.org/officeDocument/2006/relationships/hyperlink" Id="rId82" Target="https://doi.org/10.1177/0098628320959954" TargetMode="External" /><Relationship Type="http://schemas.openxmlformats.org/officeDocument/2006/relationships/hyperlink" Id="rId61" Target="www.bbc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doi.org/10.1007/s10902-020-00260-6" TargetMode="External" /><Relationship Type="http://schemas.openxmlformats.org/officeDocument/2006/relationships/hyperlink" Id="rId82" Target="https://doi.org/10.1177/0098628320959954" TargetMode="External" /><Relationship Type="http://schemas.openxmlformats.org/officeDocument/2006/relationships/hyperlink" Id="rId61" Target="www.bbc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Lecture00</dc:title>
  <dc:creator>Dr Gordon Wright</dc:creator>
  <cp:keywords/>
  <dcterms:created xsi:type="dcterms:W3CDTF">2022-09-25T19:44:21Z</dcterms:created>
  <dcterms:modified xsi:type="dcterms:W3CDTF">2022-09-25T19:44:21Z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27, September,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 | GitHub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False</vt:lpwstr>
  </property>
  <property fmtid="{D5CDD505-2E9C-101B-9397-08002B2CF9AE}" pid="18" name="modulecode">
    <vt:lpwstr>PS52007D</vt:lpwstr>
  </property>
  <property fmtid="{D5CDD505-2E9C-101B-9397-08002B2CF9AE}" pid="19" name="subtitle">
    <vt:lpwstr>Induction Week Intro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