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1.png" ContentType="image/png"/>
  <Override PartName="/word/media/rId23.png" ContentType="image/png"/>
  <Override PartName="/word/media/rId35.png" ContentType="image/png"/>
  <Override PartName="/word/media/rId27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Lecture01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Not</w:t>
      </w:r>
      <w:r>
        <w:t xml:space="preserve"> </w:t>
      </w:r>
      <w:r>
        <w:t xml:space="preserve">Yet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10,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bookmarkStart w:id="56" w:name="new-section"/>
    <w:p>
      <w:pPr>
        <w:pStyle w:val="Heading1"/>
      </w:pPr>
      <w:r>
        <w:t xml:space="preserve">New Section</w:t>
      </w:r>
    </w:p>
    <w:bookmarkStart w:id="20" w:name="bullet-list-no-build"/>
    <w:p>
      <w:pPr>
        <w:pStyle w:val="Heading2"/>
      </w:pPr>
      <w:r>
        <w:t xml:space="preserve">Bullet List (no build)</w:t>
      </w:r>
    </w:p>
    <w:p>
      <w:pPr>
        <w:numPr>
          <w:ilvl w:val="0"/>
          <w:numId w:val="1001"/>
        </w:numPr>
      </w:pPr>
      <w:r>
        <w:t xml:space="preserve">Point 1</w:t>
      </w:r>
    </w:p>
    <w:p>
      <w:pPr>
        <w:numPr>
          <w:ilvl w:val="0"/>
          <w:numId w:val="1001"/>
        </w:numPr>
      </w:pPr>
      <w:r>
        <w:t xml:space="preserve">Point 2</w:t>
      </w:r>
    </w:p>
    <w:p>
      <w:pPr>
        <w:numPr>
          <w:ilvl w:val="0"/>
          <w:numId w:val="1001"/>
        </w:numPr>
      </w:pPr>
      <w:r>
        <w:t xml:space="preserve">Point 3</w:t>
      </w:r>
    </w:p>
    <w:bookmarkEnd w:id="20"/>
    <w:bookmarkStart w:id="21" w:name="bullet-list-with-build"/>
    <w:p>
      <w:pPr>
        <w:pStyle w:val="Heading2"/>
      </w:pPr>
      <w:r>
        <w:t xml:space="preserve">Bullet List (with build)</w:t>
      </w:r>
    </w:p>
    <w:p>
      <w:pPr>
        <w:numPr>
          <w:ilvl w:val="0"/>
          <w:numId w:val="1002"/>
        </w:numPr>
        <w:pStyle w:val="Compact"/>
      </w:pPr>
      <w:r>
        <w:t xml:space="preserve">List element A</w:t>
      </w:r>
    </w:p>
    <w:p>
      <w:pPr>
        <w:numPr>
          <w:ilvl w:val="0"/>
          <w:numId w:val="1002"/>
        </w:numPr>
        <w:pStyle w:val="Compact"/>
      </w:pPr>
      <w:r>
        <w:t xml:space="preserve">List element B</w:t>
      </w:r>
    </w:p>
    <w:p>
      <w:pPr>
        <w:numPr>
          <w:ilvl w:val="0"/>
          <w:numId w:val="1002"/>
        </w:numPr>
        <w:pStyle w:val="Compact"/>
      </w:pPr>
      <w:r>
        <w:t xml:space="preserve">List element C</w:t>
      </w:r>
    </w:p>
    <w:bookmarkEnd w:id="21"/>
    <w:bookmarkStart w:id="22" w:name="page-with-aside"/>
    <w:p>
      <w:pPr>
        <w:pStyle w:val="Heading2"/>
      </w:pPr>
      <w:r>
        <w:t xml:space="preserve">Page with aside</w:t>
      </w:r>
    </w:p>
    <w:p>
      <w:pPr>
        <w:pStyle w:val="FirstParagraph"/>
      </w:pPr>
      <w:r>
        <w:t xml:space="preserve">Here is an important point</w:t>
      </w:r>
    </w:p>
    <w:p>
      <w:pPr>
        <w:pStyle w:val="BodyText"/>
      </w:pPr>
      <w:r>
        <w:t xml:space="preserve">Additional commentary.</w:t>
      </w:r>
    </w:p>
    <w:bookmarkEnd w:id="22"/>
    <w:bookmarkStart w:id="26" w:name="page-with-a-note-comment"/>
    <w:p>
      <w:pPr>
        <w:pStyle w:val="Heading2"/>
      </w:pPr>
      <w:r>
        <w:t xml:space="preserve">Page with a note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noteworthy</w:t>
            </w:r>
          </w:p>
        </w:tc>
      </w:tr>
    </w:tbl>
    <w:bookmarkEnd w:id="26"/>
    <w:bookmarkStart w:id="30" w:name="page-with-a-warning"/>
    <w:p>
      <w:pPr>
        <w:pStyle w:val="Heading2"/>
      </w:pPr>
      <w:r>
        <w:t xml:space="preserve">Page with a warning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Be WARNED!!</w:t>
            </w:r>
          </w:p>
        </w:tc>
      </w:tr>
    </w:tbl>
    <w:bookmarkEnd w:id="30"/>
    <w:bookmarkStart w:id="34" w:name="page-with-an-important-comment"/>
    <w:p>
      <w:pPr>
        <w:pStyle w:val="Heading2"/>
      </w:pPr>
      <w:r>
        <w:t xml:space="preserve">Page with an important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Important</w:t>
            </w:r>
          </w:p>
        </w:tc>
      </w:tr>
    </w:tbl>
    <w:bookmarkEnd w:id="34"/>
    <w:bookmarkStart w:id="38" w:name="page-with-a-tip"/>
    <w:p>
      <w:pPr>
        <w:pStyle w:val="Heading2"/>
      </w:pPr>
      <w:r>
        <w:t xml:space="preserve">Page with a tip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useful tip</w:t>
            </w:r>
          </w:p>
        </w:tc>
      </w:tr>
    </w:tbl>
    <w:bookmarkEnd w:id="38"/>
    <w:bookmarkStart w:id="42" w:name="page-with-a-caution"/>
    <w:p>
      <w:pPr>
        <w:pStyle w:val="Heading2"/>
      </w:pPr>
      <w:r>
        <w:t xml:space="preserve">Page with a caution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something to be cautious about</w:t>
            </w:r>
          </w:p>
        </w:tc>
      </w:tr>
    </w:tbl>
    <w:bookmarkEnd w:id="42"/>
    <w:bookmarkStart w:id="43" w:name="two-columns-text"/>
    <w:p>
      <w:pPr>
        <w:pStyle w:val="Heading2"/>
      </w:pPr>
      <w:r>
        <w:t xml:space="preserve">Two Columns (Text)</w:t>
      </w:r>
    </w:p>
    <w:p>
      <w:pPr>
        <w:pStyle w:val="FirstParagraph"/>
      </w:pPr>
      <w:r>
        <w:t xml:space="preserve">Left column</w:t>
      </w:r>
    </w:p>
    <w:p>
      <w:pPr>
        <w:pStyle w:val="BodyText"/>
      </w:pPr>
      <w:r>
        <w:t xml:space="preserve">Right column</w:t>
      </w:r>
    </w:p>
    <w:bookmarkEnd w:id="43"/>
    <w:bookmarkStart w:id="47" w:name="two-columns-text-image"/>
    <w:p>
      <w:pPr>
        <w:pStyle w:val="Heading2"/>
      </w:pPr>
      <w:r>
        <w:t xml:space="preserve">Two Columns (Text + Image)</w:t>
      </w:r>
    </w:p>
    <w:p>
      <w:pPr>
        <w:pStyle w:val="FirstParagraph"/>
      </w:pPr>
      <w:r>
        <w:t xml:space="preserve">Left column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905000" cy="1905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LMLLOG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LittleMonkeyLab</w:t>
            </w:r>
          </w:p>
        </w:tc>
      </w:tr>
    </w:tbl>
    <w:bookmarkEnd w:id="47"/>
    <w:bookmarkStart w:id="49" w:name="slide-with-different-background-colour"/>
    <w:p>
      <w:pPr>
        <w:pStyle w:val="Heading2"/>
      </w:pPr>
      <w:r>
        <w:t xml:space="preserve">Slide with different background colour</w:t>
      </w:r>
    </w:p>
    <w:p>
      <w:pPr>
        <w:pStyle w:val="FirstParagraph"/>
      </w:pPr>
      <w:r>
        <w:t xml:space="preserve">Shout</w:t>
      </w:r>
    </w:p>
    <w:p>
      <w:pPr>
        <w:pStyle w:val="BodyText"/>
      </w:pPr>
      <w:r>
        <w:t xml:space="preserve">Question</w:t>
      </w:r>
    </w:p>
    <w:p>
      <w:pPr>
        <w:pStyle w:val="BodyText"/>
      </w:pPr>
      <w:r>
        <w:t xml:space="preserve">takeaway</w:t>
      </w:r>
    </w:p>
    <w:p>
      <w:pPr>
        <w:pStyle w:val="BodyText"/>
      </w:pPr>
      <w:hyperlink r:id="rId48">
        <w:r>
          <w:rPr>
            <w:rStyle w:val="Hyperlink"/>
          </w:rPr>
          <w:t xml:space="preserve">A link to the BBC website</w:t>
        </w:r>
      </w:hyperlink>
    </w:p>
    <w:bookmarkEnd w:id="49"/>
    <w:bookmarkStart w:id="50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Here is some content</w:t>
      </w:r>
    </w:p>
    <w:p>
      <w:pPr>
        <w:pStyle w:val="notes"/>
      </w:pPr>
      <w:r>
        <w:t xml:space="preserve">Speaker notes (press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when presenting to switch to speaker mode).</w:t>
      </w:r>
    </w:p>
    <w:bookmarkEnd w:id="50"/>
    <w:bookmarkStart w:id="53" w:name="here-is-a-2-panel-tabset"/>
    <w:p>
      <w:pPr>
        <w:pStyle w:val="Heading2"/>
      </w:pPr>
      <w:r>
        <w:t xml:space="preserve">Here is a 2 panel tabset</w:t>
      </w:r>
    </w:p>
    <w:bookmarkStart w:id="51" w:name="tab-a"/>
    <w:p>
      <w:pPr>
        <w:pStyle w:val="Heading4"/>
      </w:pPr>
      <w:r>
        <w:t xml:space="preserve">Tab A</w:t>
      </w:r>
    </w:p>
    <w:p>
      <w:pPr>
        <w:pStyle w:val="FirstParagraph"/>
      </w:pPr>
      <w:r>
        <w:t xml:space="preserve">Content for Tab A</w:t>
      </w:r>
    </w:p>
    <w:bookmarkEnd w:id="51"/>
    <w:bookmarkStart w:id="52" w:name="tab-b"/>
    <w:p>
      <w:pPr>
        <w:pStyle w:val="Heading4"/>
      </w:pPr>
      <w:r>
        <w:t xml:space="preserve">Tab B</w:t>
      </w:r>
    </w:p>
    <w:p>
      <w:pPr>
        <w:pStyle w:val="FirstParagraph"/>
      </w:pPr>
      <w:r>
        <w:t xml:space="preserve">Content for Tab B</w:t>
      </w:r>
    </w:p>
    <w:bookmarkEnd w:id="52"/>
    <w:bookmarkEnd w:id="53"/>
    <w:bookmarkStart w:id="55" w:name="slide-with-footnote"/>
    <w:p>
      <w:pPr>
        <w:pStyle w:val="Heading2"/>
      </w:pPr>
      <w:r>
        <w:t xml:space="preserve">Slide with footnote</w:t>
      </w:r>
    </w:p>
    <w:p>
      <w:pPr>
        <w:pStyle w:val="FirstParagraph"/>
      </w:pPr>
      <w:r>
        <w:t xml:space="preserve">Very important point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made to the class</w:t>
      </w:r>
    </w:p>
    <w:bookmarkEnd w:id="55"/>
    <w:bookmarkEnd w:id="56"/>
    <w:bookmarkStart w:id="63" w:name="section-heading-2007"/>
    <w:p>
      <w:pPr>
        <w:pStyle w:val="Heading1"/>
      </w:pPr>
      <w:r>
        <w:t xml:space="preserve">Section heading 2007</w:t>
      </w:r>
    </w:p>
    <w:p>
      <w:pPr>
        <w:pStyle w:val="FirstParagraph"/>
      </w:pPr>
      <w:r>
        <w:t xml:space="preserve">subtitle</w:t>
      </w:r>
    </w:p>
    <w:bookmarkStart w:id="59" w:name="columns-unequal-20-80"/>
    <w:p>
      <w:pPr>
        <w:pStyle w:val="Heading2"/>
      </w:pPr>
      <w:r>
        <w:t xml:space="preserve">2 columns unequal 20% 80%</w:t>
      </w:r>
    </w:p>
    <w:bookmarkStart w:id="57" w:name="list-one"/>
    <w:p>
      <w:pPr>
        <w:pStyle w:val="Heading3"/>
      </w:pPr>
      <w:r>
        <w:t xml:space="preserve">List One</w:t>
      </w:r>
    </w:p>
    <w:p>
      <w:pPr>
        <w:numPr>
          <w:ilvl w:val="0"/>
          <w:numId w:val="1003"/>
        </w:numPr>
        <w:pStyle w:val="Compact"/>
      </w:pPr>
      <w:r>
        <w:t xml:space="preserve">Item A</w:t>
      </w:r>
    </w:p>
    <w:p>
      <w:pPr>
        <w:numPr>
          <w:ilvl w:val="0"/>
          <w:numId w:val="1003"/>
        </w:numPr>
        <w:pStyle w:val="Compact"/>
      </w:pPr>
      <w:r>
        <w:t xml:space="preserve">Item B</w:t>
      </w:r>
    </w:p>
    <w:p>
      <w:pPr>
        <w:numPr>
          <w:ilvl w:val="0"/>
          <w:numId w:val="1003"/>
        </w:numPr>
        <w:pStyle w:val="Compact"/>
      </w:pPr>
      <w:r>
        <w:t xml:space="preserve">Item C</w:t>
      </w:r>
    </w:p>
    <w:bookmarkEnd w:id="57"/>
    <w:bookmarkStart w:id="58" w:name="list-two"/>
    <w:p>
      <w:pPr>
        <w:pStyle w:val="Heading3"/>
      </w:pPr>
      <w:r>
        <w:t xml:space="preserve">List Two</w:t>
      </w:r>
    </w:p>
    <w:p>
      <w:pPr>
        <w:numPr>
          <w:ilvl w:val="0"/>
          <w:numId w:val="1004"/>
        </w:numPr>
        <w:pStyle w:val="Compact"/>
      </w:pPr>
      <w:r>
        <w:t xml:space="preserve">Item X</w:t>
      </w:r>
    </w:p>
    <w:p>
      <w:pPr>
        <w:numPr>
          <w:ilvl w:val="0"/>
          <w:numId w:val="1004"/>
        </w:numPr>
        <w:pStyle w:val="Compact"/>
      </w:pPr>
      <w:r>
        <w:t xml:space="preserve">Item Y</w:t>
      </w:r>
    </w:p>
    <w:p>
      <w:pPr>
        <w:numPr>
          <w:ilvl w:val="0"/>
          <w:numId w:val="1004"/>
        </w:numPr>
        <w:pStyle w:val="Compact"/>
      </w:pPr>
      <w:r>
        <w:t xml:space="preserve">Item Z</w:t>
      </w:r>
    </w:p>
    <w:bookmarkEnd w:id="58"/>
    <w:bookmarkEnd w:id="59"/>
    <w:bookmarkStart w:id="60" w:name="X900ccf2cf3e871eefc3e18502caa2232020ecd6"/>
    <w:p>
      <w:pPr>
        <w:pStyle w:val="Heading2"/>
      </w:pPr>
      <w:r>
        <w:t xml:space="preserve">Level 2 centred text with break</w:t>
      </w:r>
      <w:r>
        <w:t xml:space="preserve"> </w:t>
      </w:r>
      <w:r>
        <w:t xml:space="preserve"> </w:t>
      </w:r>
      <w:r>
        <w:t xml:space="preserve">with striking takeaway background</w:t>
      </w:r>
    </w:p>
    <w:bookmarkEnd w:id="60"/>
    <w:bookmarkStart w:id="6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(Andorsky, 2020; Datu et al., 2021; King, 2021; Rice et al., 2021)</w:t>
      </w:r>
    </w:p>
    <w:bookmarkEnd w:id="61"/>
    <w:bookmarkStart w:id="62" w:name="speaker-notes-1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Include speaker notes in another fenced code block.</w:t>
      </w:r>
    </w:p>
    <w:p>
      <w:pPr>
        <w:pStyle w:val="notes"/>
      </w:pPr>
      <w:r>
        <w:t xml:space="preserve">Like this.</w:t>
      </w:r>
    </w:p>
    <w:bookmarkEnd w:id="62"/>
    <w:bookmarkEnd w:id="63"/>
    <w:bookmarkStart w:id="64" w:name="fragments-with-entrance"/>
    <w:p>
      <w:pPr>
        <w:pStyle w:val="Heading1"/>
      </w:pPr>
      <w:r>
        <w:t xml:space="preserve">Fragments with entrance</w:t>
      </w:r>
    </w:p>
    <w:p>
      <w:pPr>
        <w:pStyle w:val="FirstParagraph"/>
      </w:pPr>
      <w:r>
        <w:t xml:space="preserve">Fade in</w:t>
      </w:r>
    </w:p>
    <w:p>
      <w:pPr>
        <w:pStyle w:val="notes"/>
      </w:pPr>
      <w:r>
        <w:t xml:space="preserve">Fade out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Highlight current red (available in green and blue)</w:t>
      </w:r>
    </w:p>
    <w:p>
      <w:pPr>
        <w:pStyle w:val="BodyText"/>
      </w:pPr>
      <w:r>
        <w:t xml:space="preserve">Fade in, then out</w:t>
      </w:r>
    </w:p>
    <w:p>
      <w:pPr>
        <w:pStyle w:val="BodyText"/>
      </w:pPr>
      <w:r>
        <w:t xml:space="preserve">Fade in, then semi out</w:t>
      </w:r>
    </w:p>
    <w:p>
      <w:pPr>
        <w:pStyle w:val="BodyText"/>
      </w:pPr>
      <w:r>
        <w:t xml:space="preserve">Slide up while fading in</w:t>
      </w:r>
    </w:p>
    <w:bookmarkEnd w:id="64"/>
    <w:bookmarkStart w:id="72" w:name="references-1"/>
    <w:p>
      <w:pPr>
        <w:pStyle w:val="Heading1"/>
      </w:pPr>
      <w:r>
        <w:t xml:space="preserve">References</w:t>
      </w:r>
    </w:p>
    <w:bookmarkStart w:id="71" w:name="refs"/>
    <w:bookmarkStart w:id="65" w:name="ref-andorsky2020"/>
    <w:p>
      <w:pPr>
        <w:pStyle w:val="Bibliography"/>
      </w:pPr>
      <w:r>
        <w:t xml:space="preserve">Andorsky, N. (2020).</w:t>
      </w:r>
      <w:r>
        <w:t xml:space="preserve"> </w:t>
      </w:r>
      <w:r>
        <w:rPr>
          <w:iCs/>
          <w:i/>
        </w:rPr>
        <w:t xml:space="preserve">Decoding the why: How behavioral science is driving the next generation of product design</w:t>
      </w:r>
      <w:r>
        <w:t xml:space="preserve">.</w:t>
      </w:r>
    </w:p>
    <w:bookmarkEnd w:id="65"/>
    <w:bookmarkStart w:id="67" w:name="ref-datu2021"/>
    <w:p>
      <w:pPr>
        <w:pStyle w:val="Bibliography"/>
      </w:pPr>
      <w:r>
        <w:t xml:space="preserve">Datu, J. A. D., McInerney, D. M., Żemojtel-Piotrowska, M., Hitokoto, H., &amp; Datu, N. D. (2021). Is grittiness next to happiness? Examining the association of triarchic model of grit dimensions with well-being outcomes.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981–1009.</w:t>
      </w:r>
      <w:r>
        <w:t xml:space="preserve"> </w:t>
      </w:r>
      <w:hyperlink r:id="rId66">
        <w:r>
          <w:rPr>
            <w:rStyle w:val="Hyperlink"/>
          </w:rPr>
          <w:t xml:space="preserve">https://doi.org/10.1007/s10902-020-00260-6</w:t>
        </w:r>
      </w:hyperlink>
    </w:p>
    <w:bookmarkEnd w:id="67"/>
    <w:bookmarkStart w:id="68" w:name="ref-king2021"/>
    <w:p>
      <w:pPr>
        <w:pStyle w:val="Bibliography"/>
      </w:pPr>
      <w:r>
        <w:t xml:space="preserve">King, M. (2021).</w:t>
      </w:r>
      <w:r>
        <w:t xml:space="preserve"> </w:t>
      </w:r>
      <w:r>
        <w:rPr>
          <w:iCs/>
          <w:i/>
        </w:rPr>
        <w:t xml:space="preserve">Social chemistry: Decoding the patterns of human connection</w:t>
      </w:r>
      <w:r>
        <w:t xml:space="preserve">. Dutton.</w:t>
      </w:r>
    </w:p>
    <w:bookmarkEnd w:id="68"/>
    <w:bookmarkStart w:id="70" w:name="ref-rice2021"/>
    <w:p>
      <w:pPr>
        <w:pStyle w:val="Bibliography"/>
      </w:pPr>
      <w:r>
        <w:t xml:space="preserve">Rice, L., Alquist, J. L., Penuliar, M., Donato, F. V., &amp; Price, M. M. (2021). Engaging students in a research methods writing lab online.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(1), 18–25.</w:t>
      </w:r>
      <w:r>
        <w:t xml:space="preserve"> </w:t>
      </w:r>
      <w:hyperlink r:id="rId69">
        <w:r>
          <w:rPr>
            <w:rStyle w:val="Hyperlink"/>
          </w:rPr>
          <w:t xml:space="preserve">https://doi.org/10.1177/0098628320959954</w:t>
        </w:r>
      </w:hyperlink>
    </w:p>
    <w:bookmarkEnd w:id="70"/>
    <w:bookmarkEnd w:id="71"/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343F9"/>
  </w:style>
  <w:style w:styleId="Heading1" w:type="paragraph">
    <w:name w:val="heading 1"/>
    <w:basedOn w:val="Normal"/>
    <w:next w:val="BodyText"/>
    <w:uiPriority w:val="9"/>
    <w:qFormat/>
    <w:rsid w:val="00641073"/>
    <w:pPr>
      <w:keepNext/>
      <w:keepLines/>
      <w:spacing w:after="0" w:before="480"/>
      <w:outlineLvl w:val="0"/>
    </w:pPr>
    <w:rPr>
      <w:rFonts w:ascii="Atkinson Hyperlegible" w:cstheme="majorBidi" w:eastAsiaTheme="majorEastAsia" w:hAnsi="Atkinson Hyperlegible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1"/>
    </w:pPr>
    <w:rPr>
      <w:rFonts w:ascii="Atkinson Hyperlegible" w:cstheme="majorBidi" w:eastAsiaTheme="majorEastAsia" w:hAnsi="Atkinson Hyperlegible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ascii="Atkinson Hyperlegible" w:cstheme="majorBidi" w:eastAsiaTheme="majorEastAsia" w:hAnsi="Atkinson Hyperlegible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ascii="Atkinson Hyperlegible" w:cstheme="majorBidi" w:eastAsiaTheme="majorEastAsia" w:hAnsi="Atkinson Hyperlegible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ascii="Atkinson Hyperlegible" w:cstheme="majorBidi" w:eastAsiaTheme="majorEastAsia" w:hAnsi="Atkinson Hyperlegible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ascii="Atkinson Hyperlegible" w:cstheme="majorBidi" w:eastAsiaTheme="majorEastAsia" w:hAnsi="Atkinson Hyperlegible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ascii="Atkinson Hyperlegible" w:cstheme="majorBidi" w:eastAsiaTheme="majorEastAsia" w:hAnsi="Atkinson Hyperlegible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ascii="Atkinson Hyperlegible" w:cstheme="majorBidi" w:eastAsiaTheme="majorEastAsia" w:hAnsi="Atkinson Hyperlegible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ascii="Atkinson Hyperlegible" w:cstheme="majorBidi" w:eastAsiaTheme="majorEastAsia" w:hAnsi="Atkinson Hyperlegible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  <w:rPr>
      <w:rFonts w:ascii="Atkinson Hyperlegible" w:hAnsi="Atkinson Hyperlegible"/>
    </w:r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ascii="Atkinson Hyperlegible" w:cstheme="majorBidi" w:eastAsiaTheme="majorEastAsia" w:hAnsi="Atkinson Hyperlegible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ascii="Atkinson Hyperlegible" w:cs="Times New Roman (Body CS)" w:hAnsi="Atkinson Hyperlegible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customStyle="1" w:styleId="Definition" w:type="paragraph">
    <w:name w:val="Definition"/>
    <w:basedOn w:val="Normal"/>
    <w:rsid w:val="00E343F9"/>
    <w:rPr>
      <w:rFonts w:ascii="Atkinson Hyperlegible" w:hAnsi="Atkinson Hyperlegible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customStyle="1" w:styleId="ImageCaption" w:type="paragraph">
    <w:name w:val="Image Caption"/>
    <w:basedOn w:val="Caption"/>
    <w:rsid w:val="00E343F9"/>
    <w:rPr>
      <w:rFonts w:ascii="Atkinson Hyperlegible" w:hAnsi="Atkinson Hyperlegible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type="paragraph" w:customStyle="1" w:styleId="notes">
    <w:name w:val="note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Lecture01</dc:title>
  <dc:creator>Dr Gordon Wright</dc:creator>
  <cp:keywords/>
  <dcterms:created xsi:type="dcterms:W3CDTF">2022-09-26T23:15:23Z</dcterms:created>
  <dcterms:modified xsi:type="dcterms:W3CDTF">2022-09-26T23:15:23Z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10, March,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 | GitHub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images/LMLLOGO.png</vt:lpwstr>
  </property>
  <property fmtid="{D5CDD505-2E9C-101B-9397-08002B2CF9AE}" pid="17" name="menu">
    <vt:lpwstr>False</vt:lpwstr>
  </property>
  <property fmtid="{D5CDD505-2E9C-101B-9397-08002B2CF9AE}" pid="18" name="modulecode">
    <vt:lpwstr>PS52007D</vt:lpwstr>
  </property>
  <property fmtid="{D5CDD505-2E9C-101B-9397-08002B2CF9AE}" pid="19" name="subtitle">
    <vt:lpwstr>Content Not Yet Available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