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Lecture04</w:t>
      </w:r>
    </w:p>
    <w:p>
      <w:pPr>
        <w:pStyle w:val="Subtitle"/>
      </w:pPr>
      <w:r>
        <w:t xml:space="preserve">Research,</w:t>
      </w:r>
      <w:r>
        <w:t xml:space="preserve"> </w:t>
      </w:r>
      <w:r>
        <w:t xml:space="preserve">me-search</w:t>
      </w:r>
      <w:r>
        <w:t xml:space="preserve"> </w:t>
      </w:r>
      <w:r>
        <w:t xml:space="preserve">&amp;</w:t>
      </w:r>
      <w:r>
        <w:t xml:space="preserve"> </w:t>
      </w:r>
      <w:r>
        <w:t xml:space="preserve">Inclusivity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October,</w:t>
      </w:r>
      <w:r>
        <w:t xml:space="preserve"> </w:t>
      </w:r>
      <w:r>
        <w:t xml:space="preserve">2022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well-being</w:t>
      </w:r>
    </w:p>
    <w:p>
      <w:pPr>
        <w:numPr>
          <w:ilvl w:val="0"/>
          <w:numId w:val="1001"/>
        </w:numPr>
        <w:pStyle w:val="Compact"/>
      </w:pPr>
      <w:r>
        <w:t xml:space="preserve">Departmental Seminar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Dr Valentina Cazzato Liverpool JMU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943600" cy="130879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943600" cy="13995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943600" cy="158731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943600" cy="231184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(Altenmüller et al., 2021)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(Morawski, 2005)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Ledgerwood et al. (2022)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943600" cy="39010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943600" cy="43613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943600" cy="36893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943600" cy="422583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Conry-Murray &amp; Silverstein (n.d.)</w:t>
      </w:r>
    </w:p>
    <w:p>
      <w:pPr>
        <w:pStyle w:val="BodyText"/>
      </w:pPr>
      <w:r>
        <w:drawing>
          <wp:inline>
            <wp:extent cx="5943600" cy="202185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9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943600" cy="411714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943600" cy="410592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references"/>
    <w:p>
      <w:pPr>
        <w:pStyle w:val="Heading2"/>
      </w:pPr>
      <w:r>
        <w:t xml:space="preserve">References</w:t>
      </w:r>
    </w:p>
    <w:bookmarkStart w:id="107" w:name="refs"/>
    <w:bookmarkStart w:id="100" w:name="ref-altenmuller2021"/>
    <w:p>
      <w:pPr>
        <w:pStyle w:val="Bibliography"/>
      </w:pPr>
      <w:r>
        <w:t xml:space="preserve">Altenmüller, M. S., Lange, L. L., &amp; Gollwitzer, M. (2021). When research is me-search: How researchers’ motivation to pursue a topic affects laypeople’s trust in science.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(7), e0253911.</w:t>
      </w:r>
      <w:r>
        <w:t xml:space="preserve"> </w:t>
      </w:r>
      <w:hyperlink r:id="rId99">
        <w:r>
          <w:rPr>
            <w:rStyle w:val="Hyperlink"/>
          </w:rPr>
          <w:t xml:space="preserve">https://doi.org/10.1371/journal.pone.0253911</w:t>
        </w:r>
      </w:hyperlink>
    </w:p>
    <w:bookmarkEnd w:id="100"/>
    <w:bookmarkStart w:id="102" w:name="ref-conry-murray2022"/>
    <w:p>
      <w:pPr>
        <w:pStyle w:val="Bibliography"/>
      </w:pPr>
      <w:r>
        <w:t xml:space="preserve">Conry-Murray, C., &amp; Silverstein, P. (n.d.).</w:t>
      </w:r>
      <w:r>
        <w:t xml:space="preserve"> </w:t>
      </w:r>
      <w:r>
        <w:rPr>
          <w:iCs/>
          <w:i/>
        </w:rPr>
        <w:t xml:space="preserve">The role of values in psychological science: Examining identity-based inclusivity</w:t>
      </w:r>
      <w:r>
        <w:t xml:space="preserve">.</w:t>
      </w:r>
      <w:r>
        <w:t xml:space="preserve"> </w:t>
      </w:r>
      <w:hyperlink r:id="rId101">
        <w:r>
          <w:rPr>
            <w:rStyle w:val="Hyperlink"/>
          </w:rPr>
          <w:t xml:space="preserve">https://doi.org/10.31234/osf.io/cskg2</w:t>
        </w:r>
      </w:hyperlink>
    </w:p>
    <w:bookmarkEnd w:id="102"/>
    <w:bookmarkStart w:id="104" w:name="ref-ledgerwood2022"/>
    <w:p>
      <w:pPr>
        <w:pStyle w:val="Bibliography"/>
      </w:pPr>
      <w:r>
        <w:t xml:space="preserve">Ledgerwood, A., Hudson, S. T. J., Lewis, N. A., Maddox, K. B., Pickett, C. L., Remedios, J. D., Cheryan, S., Diekman, A. B., Dutra, N. B., Goh, J. X., &amp; al., et. (2022). The pandemic as a portal: Reimagining psychological science as truly open and inclusive.</w:t>
      </w:r>
      <w:r>
        <w:t xml:space="preserve"> </w:t>
      </w:r>
      <w:r>
        <w:rPr>
          <w:iCs/>
          <w:i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(4), 937–959.</w:t>
      </w:r>
      <w:r>
        <w:t xml:space="preserve"> </w:t>
      </w:r>
      <w:hyperlink r:id="rId103">
        <w:r>
          <w:rPr>
            <w:rStyle w:val="Hyperlink"/>
          </w:rPr>
          <w:t xml:space="preserve">https://doi.org/10.1177/17456916211036654</w:t>
        </w:r>
      </w:hyperlink>
    </w:p>
    <w:bookmarkEnd w:id="104"/>
    <w:bookmarkStart w:id="106" w:name="ref-morawski2005"/>
    <w:p>
      <w:pPr>
        <w:pStyle w:val="Bibliography"/>
      </w:pPr>
      <w:r>
        <w:t xml:space="preserve">Morawski, J. G. (2005). Reflexivity and the psychologist.</w:t>
      </w:r>
      <w:r>
        <w:t xml:space="preserve"> </w:t>
      </w:r>
      <w:r>
        <w:rPr>
          <w:iCs/>
          <w:i/>
        </w:rPr>
        <w:t xml:space="preserve">History of the Human Sciences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(4), 77–105.</w:t>
      </w:r>
      <w:r>
        <w:t xml:space="preserve"> </w:t>
      </w:r>
      <w:hyperlink r:id="rId105">
        <w:r>
          <w:rPr>
            <w:rStyle w:val="Hyperlink"/>
          </w:rPr>
          <w:t xml:space="preserve">https://doi.org/10.1177/0952695105058472</w:t>
        </w:r>
      </w:hyperlink>
    </w:p>
    <w:bookmarkEnd w:id="106"/>
    <w:bookmarkEnd w:id="107"/>
    <w:bookmarkEnd w:id="108"/>
    <w:bookmarkEnd w:id="109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Lecture04</dc:title>
  <dc:creator>Dr Gordon Wright</dc:creator>
  <cp:keywords/>
  <dcterms:created xsi:type="dcterms:W3CDTF">2023-10-29T17:38:17Z</dcterms:created>
  <dcterms:modified xsi:type="dcterms:W3CDTF">2023-10-29T17:38:17Z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halkboard">
    <vt:lpwstr>True</vt:lpwstr>
  </property>
  <property fmtid="{D5CDD505-2E9C-101B-9397-08002B2CF9AE}" pid="7" name="csl">
    <vt:lpwstr>../apa7.csl</vt:lpwstr>
  </property>
  <property fmtid="{D5CDD505-2E9C-101B-9397-08002B2CF9AE}" pid="8" name="date">
    <vt:lpwstr>24 October,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True</vt:lpwstr>
  </property>
  <property fmtid="{D5CDD505-2E9C-101B-9397-08002B2CF9AE}" pid="18" name="modulecode">
    <vt:lpwstr>PS52007D</vt:lpwstr>
  </property>
  <property fmtid="{D5CDD505-2E9C-101B-9397-08002B2CF9AE}" pid="19" name="navigation-mode">
    <vt:lpwstr>linear</vt:lpwstr>
  </property>
  <property fmtid="{D5CDD505-2E9C-101B-9397-08002B2CF9AE}" pid="20" name="preview-links">
    <vt:lpwstr>True</vt:lpwstr>
  </property>
  <property fmtid="{D5CDD505-2E9C-101B-9397-08002B2CF9AE}" pid="21" name="subtitle">
    <vt:lpwstr>Research, me-search &amp; Inclusivity</vt:lpwstr>
  </property>
  <property fmtid="{D5CDD505-2E9C-101B-9397-08002B2CF9AE}" pid="22" name="toc-title">
    <vt:lpwstr>Table of contents</vt:lpwstr>
  </property>
</Properties>
</file>