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27.png" ContentType="image/png"/>
  <Override PartName="/word/media/rId36.png" ContentType="image/png"/>
  <Override PartName="/word/media/rId32.png" ContentType="image/png"/>
  <Override PartName="/word/media/rId57.png" ContentType="image/png"/>
  <Override PartName="/word/media/rId40.png" ContentType="image/png"/>
  <Override PartName="/word/media/rId20.png" ContentType="image/png"/>
  <Override PartName="/word/media/rId6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Lecture06</w:t>
      </w:r>
    </w:p>
    <w:p>
      <w:pPr>
        <w:pStyle w:val="Subtitle"/>
      </w:pPr>
      <w:r>
        <w:t xml:space="preserve">Operationalising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bringing</w:t>
      </w:r>
      <w:r>
        <w:t xml:space="preserve"> </w:t>
      </w:r>
      <w:r>
        <w:t xml:space="preserve">concepts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drawing>
          <wp:inline>
            <wp:extent cx="5943600" cy="62329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aste-D92313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6)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Tutorial (Submission Fri, 25th Nov)</w:t>
      </w:r>
    </w:p>
    <w:p>
      <w:pPr>
        <w:numPr>
          <w:ilvl w:val="1"/>
          <w:numId w:val="1002"/>
        </w:numPr>
        <w:pStyle w:val="Compact"/>
      </w:pPr>
      <w:r>
        <w:t xml:space="preserve">How and why does</w:t>
      </w:r>
      <w:r>
        <w:t xml:space="preserve"> </w:t>
      </w:r>
      <w:r>
        <w:rPr>
          <w:u w:val="single"/>
        </w:rPr>
        <w:t xml:space="preserve">intelligence</w:t>
      </w:r>
      <w:r>
        <w:t xml:space="preserve"> </w:t>
      </w:r>
      <w:r>
        <w:t xml:space="preserve">predict</w:t>
      </w:r>
      <w:r>
        <w:t xml:space="preserve"> </w:t>
      </w:r>
      <w:r>
        <w:rPr>
          <w:u w:val="single"/>
        </w:rPr>
        <w:t xml:space="preserve">important life outcomes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RASA and EC deadline for Critical Proposal (Fri, 18th Nov)</w:t>
      </w:r>
    </w:p>
    <w:p>
      <w:pPr>
        <w:numPr>
          <w:ilvl w:val="0"/>
          <w:numId w:val="1001"/>
        </w:numPr>
        <w:pStyle w:val="Compact"/>
      </w:pPr>
      <w:r>
        <w:t xml:space="preserve">PsychSociety film number 2!</w:t>
      </w:r>
    </w:p>
    <w:p>
      <w:pPr>
        <w:numPr>
          <w:ilvl w:val="1"/>
          <w:numId w:val="1003"/>
        </w:numPr>
        <w:pStyle w:val="Compact"/>
      </w:pPr>
      <w:r>
        <w:t xml:space="preserve">Tuesday (15/11/2022). You can find out more information and book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Three Identical Strangers</w:t>
        </w:r>
      </w:hyperlink>
      <w:r>
        <w:t xml:space="preserve">. 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Online (and Offline) Data collection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55" w:name="operationalisation-of-variables"/>
    <w:p>
      <w:pPr>
        <w:pStyle w:val="Heading1"/>
      </w:pPr>
      <w:r>
        <w:t xml:space="preserve">‘</w:t>
      </w:r>
      <w:r>
        <w:t xml:space="preserve">Operationalisation</w:t>
      </w:r>
      <w:r>
        <w:t xml:space="preserve">’</w:t>
      </w:r>
      <w:r>
        <w:t xml:space="preserve"> </w:t>
      </w:r>
      <w:r>
        <w:t xml:space="preserve">of variables</w:t>
      </w:r>
    </w:p>
    <w:p>
      <w:pPr>
        <w:pStyle w:val="FirstParagraph"/>
      </w:pPr>
      <w:r>
        <w:t xml:space="preserve">Operationalisation of variables requires a consideration of the reliability and validity of the method of operationalisation.</w:t>
      </w:r>
    </w:p>
    <w:p>
      <w:pPr>
        <w:pStyle w:val="BodyText"/>
      </w:pPr>
      <w:r>
        <w:t xml:space="preserve">Operationalisation of variables also requires specification of the scale of measurement: nominal, ordinal, interval, or ratio.</w:t>
      </w:r>
    </w:p>
    <w:p>
      <w:pPr>
        <w:pStyle w:val="BodyText"/>
      </w:pPr>
      <w:r>
        <w:t xml:space="preserve">Finally, operationalisation of variables can also specify details of the measurement procedure.</w:t>
      </w:r>
    </w:p>
    <w:p>
      <w:pPr>
        <w:pStyle w:val="BodyText"/>
      </w:pPr>
      <w:r>
        <w:t xml:space="preserve">See Howitt and Cramer Chapter 3.3 (Box Research Example - Condon &amp; Crano 1988)</w:t>
      </w:r>
    </w:p>
    <w:bookmarkStart w:id="30" w:name="X36e522471993debfc4b8bf6dc5d0781f20ce5b4"/>
    <w:p>
      <w:pPr>
        <w:pStyle w:val="Heading2"/>
      </w:pPr>
      <w:r>
        <w:t xml:space="preserve">Attitude similarity and interpersonal attraction</w:t>
      </w:r>
    </w:p>
    <w:p>
      <w:pPr>
        <w:pStyle w:val="FirstParagraph"/>
      </w:pPr>
      <w:r>
        <w:drawing>
          <wp:inline>
            <wp:extent cx="5943600" cy="377019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01E3BCC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heir-dv-consider-pros-and-cons"/>
    <w:p>
      <w:pPr>
        <w:pStyle w:val="Heading2"/>
      </w:pPr>
      <w:r>
        <w:t xml:space="preserve">Their DV (consider pros and cons)</w:t>
      </w:r>
    </w:p>
    <w:p>
      <w:pPr>
        <w:pStyle w:val="FirstParagraph"/>
      </w:pPr>
      <w:r>
        <w:t xml:space="preserve">This person would like(dislike) me</w:t>
      </w:r>
    </w:p>
    <w:p>
      <w:pPr>
        <w:pStyle w:val="BodyText"/>
      </w:pPr>
      <w:r>
        <w:t xml:space="preserve">This person would like(dislike) working with me in an experiment</w:t>
      </w:r>
    </w:p>
    <w:bookmarkEnd w:id="31"/>
    <w:bookmarkStart w:id="35" w:name="the-student-room-question"/>
    <w:p>
      <w:pPr>
        <w:pStyle w:val="Heading2"/>
      </w:pPr>
      <w:r>
        <w:t xml:space="preserve">The Student Room (question)</w:t>
      </w:r>
    </w:p>
    <w:p>
      <w:pPr>
        <w:pStyle w:val="FirstParagraph"/>
      </w:pPr>
      <w:r>
        <w:drawing>
          <wp:inline>
            <wp:extent cx="5943600" cy="24477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aste-3C1317D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the-student-room-answer-1"/>
    <w:p>
      <w:pPr>
        <w:pStyle w:val="Heading2"/>
      </w:pPr>
      <w:r>
        <w:t xml:space="preserve">The Student Room (answer 1)</w:t>
      </w:r>
    </w:p>
    <w:p>
      <w:pPr>
        <w:pStyle w:val="FirstParagraph"/>
      </w:pPr>
      <w:r>
        <w:drawing>
          <wp:inline>
            <wp:extent cx="5943600" cy="36006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F4878E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the-student-room-answer-2"/>
    <w:p>
      <w:pPr>
        <w:pStyle w:val="Heading2"/>
      </w:pPr>
      <w:r>
        <w:t xml:space="preserve">The Student Room (answer 2)</w:t>
      </w:r>
    </w:p>
    <w:p>
      <w:pPr>
        <w:pStyle w:val="FirstParagraph"/>
      </w:pPr>
      <w:r>
        <w:drawing>
          <wp:inline>
            <wp:extent cx="5943600" cy="18202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paste-776290A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d5610248f7490ad80979e727003312e8257043"/>
    <w:p>
      <w:pPr>
        <w:pStyle w:val="Heading2"/>
      </w:pPr>
      <w:r>
        <w:t xml:space="preserve">Let’s think about your forthcoming Personality essay</w:t>
      </w:r>
    </w:p>
    <w:p>
      <w:pPr>
        <w:pStyle w:val="FirstParagraph"/>
      </w:pPr>
      <w:r>
        <w:t xml:space="preserve">Two key concepts you’ll be thinking about and reading around…</w:t>
      </w:r>
    </w:p>
    <w:p>
      <w:pPr>
        <w:numPr>
          <w:ilvl w:val="0"/>
          <w:numId w:val="1004"/>
        </w:numPr>
      </w:pPr>
      <w:r>
        <w:t xml:space="preserve">Intelligence</w:t>
      </w:r>
    </w:p>
    <w:p>
      <w:pPr>
        <w:numPr>
          <w:ilvl w:val="0"/>
          <w:numId w:val="1004"/>
        </w:numPr>
      </w:pPr>
      <w:r>
        <w:t xml:space="preserve">important life outcomes</w:t>
      </w:r>
    </w:p>
    <w:bookmarkEnd w:id="44"/>
    <w:bookmarkStart w:id="45" w:name="hopefully-you-will-ask-yourself"/>
    <w:p>
      <w:pPr>
        <w:pStyle w:val="Heading2"/>
      </w:pPr>
      <w:r>
        <w:t xml:space="preserve">Hopefully, you will ask yourself…</w:t>
      </w:r>
    </w:p>
    <w:p>
      <w:pPr>
        <w:pStyle w:val="FirstParagraph"/>
      </w:pPr>
      <w:r>
        <w:t xml:space="preserve">How are these important and very tricky concepts</w:t>
      </w:r>
    </w:p>
    <w:p>
      <w:pPr>
        <w:numPr>
          <w:ilvl w:val="0"/>
          <w:numId w:val="1005"/>
        </w:numPr>
      </w:pPr>
      <w:r>
        <w:t xml:space="preserve">Defined</w:t>
      </w:r>
    </w:p>
    <w:p>
      <w:pPr>
        <w:numPr>
          <w:ilvl w:val="0"/>
          <w:numId w:val="1005"/>
        </w:numPr>
      </w:pPr>
      <w:r>
        <w:t xml:space="preserve">Measured</w:t>
      </w:r>
    </w:p>
    <w:p>
      <w:pPr>
        <w:numPr>
          <w:ilvl w:val="0"/>
          <w:numId w:val="1005"/>
        </w:numPr>
      </w:pPr>
      <w:r>
        <w:t xml:space="preserve">And brought to life in the lab!</w:t>
      </w:r>
    </w:p>
    <w:bookmarkEnd w:id="45"/>
    <w:bookmarkStart w:id="46" w:name="X4d8035db657e2197ab7f4018c790c3b9e8ee601"/>
    <w:p>
      <w:pPr>
        <w:pStyle w:val="Heading2"/>
      </w:pPr>
      <w:r>
        <w:t xml:space="preserve">Of great importance that you reflect on this for your MD too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defined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6"/>
        </w:numPr>
        <w:pStyle w:val="Compact"/>
      </w:pPr>
      <w:r>
        <w:t xml:space="preserve">IVs and DVs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measured or categorised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7"/>
        </w:numPr>
      </w:pPr>
      <w:r>
        <w:t xml:space="preserve">e.g. Social Media use</w:t>
      </w:r>
    </w:p>
    <w:p>
      <w:pPr>
        <w:numPr>
          <w:ilvl w:val="0"/>
          <w:numId w:val="1007"/>
        </w:numPr>
      </w:pPr>
      <w:r>
        <w:t xml:space="preserve">Gender</w:t>
      </w:r>
    </w:p>
    <w:p>
      <w:pPr>
        <w:numPr>
          <w:ilvl w:val="0"/>
          <w:numId w:val="1007"/>
        </w:numPr>
      </w:pPr>
      <w:r>
        <w:t xml:space="preserve">Frequency or low/high extraversion</w:t>
      </w:r>
    </w:p>
    <w:bookmarkEnd w:id="46"/>
    <w:bookmarkStart w:id="47" w:name="the-research-process"/>
    <w:p>
      <w:pPr>
        <w:pStyle w:val="Heading2"/>
      </w:pPr>
      <w:r>
        <w:rPr>
          <w:bCs/>
          <w:b/>
        </w:rPr>
        <w:t xml:space="preserve">The research process</w:t>
      </w:r>
    </w:p>
    <w:p>
      <w:pPr>
        <w:pStyle w:val="FirstParagraph"/>
      </w:pPr>
      <w:r>
        <w:t xml:space="preserve">•Develop research aims </w:t>
      </w:r>
    </w:p>
    <w:p>
      <w:pPr>
        <w:pStyle w:val="BodyText"/>
      </w:pPr>
      <w:r>
        <w:t xml:space="preserve">•Specify research questions/hypotheses related to these aims</w:t>
      </w:r>
    </w:p>
    <w:p>
      <w:pPr>
        <w:pStyle w:val="BodyText"/>
      </w:pPr>
      <w:r>
        <w:t xml:space="preserve">•Identify relevant constructs and concepts </w:t>
      </w:r>
    </w:p>
    <w:p>
      <w:pPr>
        <w:pStyle w:val="BodyText"/>
      </w:pPr>
      <w:r>
        <w:t xml:space="preserve">•Translate constructs and concepts into variables (i.e., a logical set of characteristics/features)</w:t>
      </w:r>
    </w:p>
    <w:p>
      <w:pPr>
        <w:pStyle w:val="BodyText"/>
      </w:pPr>
      <w:r>
        <w:t xml:space="preserve">•Translate variables into measurements (i.e., the quantification of</w:t>
      </w:r>
      <w:r>
        <w:t xml:space="preserve"> </w:t>
      </w:r>
      <w:r>
        <w:t xml:space="preserve">characteristics/features)</w:t>
      </w:r>
    </w:p>
    <w:bookmarkEnd w:id="47"/>
    <w:bookmarkStart w:id="48" w:name="quantitative-research"/>
    <w:p>
      <w:pPr>
        <w:pStyle w:val="Heading2"/>
      </w:pPr>
      <w:r>
        <w:t xml:space="preserve">Quantitative Research</w:t>
      </w:r>
    </w:p>
    <w:p>
      <w:pPr>
        <w:pStyle w:val="FirstParagraph"/>
      </w:pPr>
      <w:r>
        <w:t xml:space="preserve">A systematic examination of relationships between variables</w:t>
      </w:r>
    </w:p>
    <w:p>
      <w:pPr>
        <w:pStyle w:val="BodyText"/>
      </w:pPr>
      <w:r>
        <w:t xml:space="preserve">‘</w:t>
      </w:r>
      <w:r>
        <w:t xml:space="preserve">Variables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translated</w:t>
      </w:r>
      <w:r>
        <w:t xml:space="preserve">’</w:t>
      </w:r>
      <w:r>
        <w:t xml:space="preserve"> </w:t>
      </w:r>
      <w:r>
        <w:t xml:space="preserve">concepts, constructs or phenomena</w:t>
      </w:r>
    </w:p>
    <w:bookmarkEnd w:id="48"/>
    <w:bookmarkStart w:id="49" w:name="types-of-variable"/>
    <w:p>
      <w:pPr>
        <w:pStyle w:val="Heading2"/>
      </w:pPr>
      <w:r>
        <w:t xml:space="preserve">Types of Variable</w:t>
      </w:r>
    </w:p>
    <w:p>
      <w:pPr>
        <w:pStyle w:val="FirstParagraph"/>
      </w:pPr>
      <w:r>
        <w:t xml:space="preserve">Independent</w:t>
      </w:r>
    </w:p>
    <w:p>
      <w:pPr>
        <w:numPr>
          <w:ilvl w:val="0"/>
          <w:numId w:val="1008"/>
        </w:numPr>
      </w:pPr>
      <w:r>
        <w:t xml:space="preserve">Experimental - The variable I manipulate</w:t>
      </w:r>
    </w:p>
    <w:p>
      <w:pPr>
        <w:numPr>
          <w:ilvl w:val="0"/>
          <w:numId w:val="1008"/>
        </w:numPr>
      </w:pPr>
      <w:r>
        <w:t xml:space="preserve">Non-Experimental - Comparison groups</w:t>
      </w:r>
    </w:p>
    <w:p>
      <w:pPr>
        <w:pStyle w:val="FirstParagraph"/>
      </w:pPr>
      <w:r>
        <w:t xml:space="preserve">Dependent</w:t>
      </w:r>
    </w:p>
    <w:p>
      <w:pPr>
        <w:numPr>
          <w:ilvl w:val="0"/>
          <w:numId w:val="1009"/>
        </w:numPr>
        <w:pStyle w:val="Compact"/>
      </w:pPr>
      <w:r>
        <w:t xml:space="preserve">The variable you measure, that you propose to be influenced by a manpulation of the IVs</w:t>
      </w:r>
    </w:p>
    <w:bookmarkEnd w:id="49"/>
    <w:bookmarkStart w:id="50" w:name="types-of-measurement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Nominal/Categorical</w:t>
      </w:r>
    </w:p>
    <w:p>
      <w:pPr>
        <w:numPr>
          <w:ilvl w:val="0"/>
          <w:numId w:val="1010"/>
        </w:numPr>
      </w:pPr>
      <w:r>
        <w:t xml:space="preserve">Male/Female/…</w:t>
      </w:r>
    </w:p>
    <w:p>
      <w:pPr>
        <w:numPr>
          <w:ilvl w:val="0"/>
          <w:numId w:val="1010"/>
        </w:numPr>
      </w:pPr>
      <w:r>
        <w:t xml:space="preserve">Vegan, Vegetarian</w:t>
      </w:r>
    </w:p>
    <w:p>
      <w:pPr>
        <w:numPr>
          <w:ilvl w:val="0"/>
          <w:numId w:val="1010"/>
        </w:numPr>
      </w:pPr>
      <w:r>
        <w:t xml:space="preserve">Smoker/Non-Smoker</w:t>
      </w:r>
    </w:p>
    <w:bookmarkEnd w:id="50"/>
    <w:bookmarkStart w:id="51" w:name="types-of-measurement-1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Ordinal</w:t>
      </w:r>
    </w:p>
    <w:p>
      <w:pPr>
        <w:pStyle w:val="BodyText"/>
      </w:pPr>
      <w:r>
        <w:t xml:space="preserve">Numbers representing a rank position in a group</w:t>
      </w:r>
    </w:p>
    <w:p>
      <w:pPr>
        <w:pStyle w:val="BodyText"/>
      </w:pPr>
      <w:r>
        <w:t xml:space="preserve">Not representative of an actual definite number/score/value - without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1"/>
        </w:numPr>
      </w:pPr>
      <w:r>
        <w:t xml:space="preserve">First, second, third</w:t>
      </w:r>
    </w:p>
    <w:p>
      <w:pPr>
        <w:numPr>
          <w:ilvl w:val="0"/>
          <w:numId w:val="1011"/>
        </w:numPr>
      </w:pPr>
      <w:r>
        <w:t xml:space="preserve">Tallest/Shortest</w:t>
      </w:r>
    </w:p>
    <w:bookmarkEnd w:id="51"/>
    <w:bookmarkStart w:id="52" w:name="types-of-measurement-2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Interval</w:t>
      </w:r>
    </w:p>
    <w:p>
      <w:pPr>
        <w:pStyle w:val="BodyText"/>
      </w:pPr>
      <w:r>
        <w:t xml:space="preserve">Numbers represent equal units giving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2"/>
        </w:numPr>
      </w:pPr>
      <w:r>
        <w:t xml:space="preserve">Temperature</w:t>
      </w:r>
    </w:p>
    <w:p>
      <w:pPr>
        <w:numPr>
          <w:ilvl w:val="0"/>
          <w:numId w:val="1012"/>
        </w:numPr>
      </w:pPr>
      <w:r>
        <w:t xml:space="preserve">Psychological Scales</w:t>
      </w:r>
    </w:p>
    <w:bookmarkEnd w:id="52"/>
    <w:bookmarkStart w:id="53" w:name="types-of-measurement-3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Ratio</w:t>
      </w:r>
    </w:p>
    <w:p>
      <w:pPr>
        <w:pStyle w:val="BodyText"/>
      </w:pPr>
      <w:r>
        <w:t xml:space="preserve">Interval measurements with an absolute zero, of equal units,</w:t>
      </w:r>
    </w:p>
    <w:p>
      <w:pPr>
        <w:numPr>
          <w:ilvl w:val="0"/>
          <w:numId w:val="1013"/>
        </w:numPr>
      </w:pPr>
      <w:r>
        <w:t xml:space="preserve">Weight</w:t>
      </w:r>
    </w:p>
    <w:p>
      <w:pPr>
        <w:numPr>
          <w:ilvl w:val="0"/>
          <w:numId w:val="1013"/>
        </w:numPr>
      </w:pPr>
      <w:r>
        <w:t xml:space="preserve">Length</w:t>
      </w:r>
    </w:p>
    <w:p>
      <w:pPr>
        <w:numPr>
          <w:ilvl w:val="0"/>
          <w:numId w:val="1013"/>
        </w:numPr>
      </w:pPr>
      <w:r>
        <w:t xml:space="preserve">Time/Reaction time*</w:t>
      </w:r>
    </w:p>
    <w:bookmarkEnd w:id="53"/>
    <w:bookmarkStart w:id="54" w:name="dani-navarro"/>
    <w:p>
      <w:pPr>
        <w:pStyle w:val="Heading2"/>
      </w:pPr>
      <w:r>
        <w:t xml:space="preserve">Dani Navarro</w:t>
      </w:r>
    </w:p>
    <w:p>
      <w:pPr>
        <w:pStyle w:val="FirstParagraph"/>
      </w:pPr>
      <w:r>
        <w:t xml:space="preserve">A legend. Author of Learning Statistics with Jamovi/R</w:t>
      </w:r>
    </w:p>
    <w:bookmarkEnd w:id="54"/>
    <w:bookmarkEnd w:id="55"/>
    <w:bookmarkStart w:id="74" w:name="learnstatswithjamovi.com"/>
    <w:p>
      <w:pPr>
        <w:pStyle w:val="Heading1"/>
      </w:pPr>
      <w:hyperlink r:id="rId56">
        <w:r>
          <w:rPr>
            <w:rStyle w:val="Hyperlink"/>
          </w:rPr>
          <w:t xml:space="preserve">learnstatswithjamovi.com</w:t>
        </w:r>
      </w:hyperlink>
    </w:p>
    <w:p>
      <w:pPr>
        <w:pStyle w:val="FirstParagraph"/>
      </w:pPr>
      <w:r>
        <w:drawing>
          <wp:inline>
            <wp:extent cx="5943600" cy="253547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paste-4A09265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danis-example"/>
    <w:p>
      <w:pPr>
        <w:pStyle w:val="Heading2"/>
      </w:pPr>
      <w:r>
        <w:t xml:space="preserve">Dani’s example:</w:t>
      </w:r>
    </w:p>
    <w:p>
      <w:pPr>
        <w:pStyle w:val="FirstParagraph"/>
      </w:pPr>
      <w:r>
        <w:t xml:space="preserve">• My</w:t>
      </w:r>
      <w:r>
        <w:t xml:space="preserve"> </w:t>
      </w:r>
      <w:r>
        <w:rPr>
          <w:u w:val="single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33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• I</w:t>
      </w:r>
      <w:r>
        <w:t xml:space="preserve"> </w:t>
      </w:r>
      <w:r>
        <w:t xml:space="preserve">do not</w:t>
      </w:r>
      <w:r>
        <w:t xml:space="preserve"> </w:t>
      </w:r>
      <w:r>
        <w:t xml:space="preserve">like</w:t>
      </w:r>
      <w:r>
        <w:t xml:space="preserve"> </w:t>
      </w:r>
      <w:r>
        <w:rPr>
          <w:u w:val="single"/>
        </w:rPr>
        <w:t xml:space="preserve">anchovies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chromosomal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self-identified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*</w:t>
      </w:r>
    </w:p>
    <w:p>
      <w:pPr>
        <w:pStyle w:val="BodyText"/>
      </w:pPr>
      <w:r>
        <w:t xml:space="preserve">*see footnote 2, page 14 Learning Statistics with Jamovi</w:t>
      </w:r>
    </w:p>
    <w:bookmarkEnd w:id="60"/>
    <w:bookmarkStart w:id="64" w:name="median-splits"/>
    <w:p>
      <w:pPr>
        <w:pStyle w:val="Heading2"/>
      </w:pPr>
      <w:r>
        <w:t xml:space="preserve">Median Splits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Dangerzone!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often suggest a median split to dichotomise a continuous variable, e.g. for the purposes of creating a 2 level IV.</w:t>
            </w:r>
          </w:p>
          <w:p>
            <w:pPr>
              <w:pStyle w:val="BodyText"/>
            </w:pPr>
            <w:r>
              <w:t xml:space="preserve">It’s a useful exercise in calculating a</w:t>
            </w:r>
            <w:r>
              <w:t xml:space="preserve"> </w:t>
            </w:r>
            <w:r>
              <w:t xml:space="preserve">‘</w:t>
            </w:r>
            <w:r>
              <w:t xml:space="preserve">computed variable</w:t>
            </w:r>
            <w:r>
              <w:t xml:space="preserve">’</w:t>
            </w:r>
            <w:r>
              <w:t xml:space="preserve"> </w:t>
            </w:r>
            <w:r>
              <w:t xml:space="preserve">in SPSS or Jamovi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is NOT best-practice usually.</w:t>
            </w:r>
          </w:p>
        </w:tc>
      </w:tr>
    </w:tbl>
    <w:p>
      <w:pPr>
        <w:pStyle w:val="BodyText"/>
      </w:pPr>
      <w:r>
        <w:t xml:space="preserve">It is a key learning outcome that you are able to perform a standardised set of analysis, specifically, the 2x2 ANOVA with any necessary assumption checks and post-hocs + plots</w:t>
      </w:r>
    </w:p>
    <w:bookmarkEnd w:id="64"/>
    <w:bookmarkStart w:id="68" w:name="think-about-this"/>
    <w:p>
      <w:pPr>
        <w:pStyle w:val="Heading2"/>
      </w:pPr>
      <w:r>
        <w:t xml:space="preserve">Think about this</w:t>
      </w:r>
    </w:p>
    <w:p>
      <w:pPr>
        <w:pStyle w:val="FirstParagraph"/>
      </w:pPr>
      <w:r>
        <w:drawing>
          <wp:inline>
            <wp:extent cx="5943600" cy="549408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paste-EAC3C58C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2c1474fa507dc7b5c79bcd59138a6ce6e70e3ac"/>
    <w:p>
      <w:pPr>
        <w:pStyle w:val="Heading2"/>
      </w:pPr>
      <w:r>
        <w:t xml:space="preserve">Operationalisation, measurement and definitions impact…</w:t>
      </w:r>
    </w:p>
    <w:p>
      <w:pPr>
        <w:pStyle w:val="FirstParagraph"/>
      </w:pPr>
      <w:r>
        <w:drawing>
          <wp:inline>
            <wp:extent cx="1905000" cy="150051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E903404B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You should think carefully about:</w:t>
      </w:r>
    </w:p>
    <w:p>
      <w:pPr>
        <w:numPr>
          <w:ilvl w:val="0"/>
          <w:numId w:val="1014"/>
        </w:numPr>
      </w:pPr>
      <w:r>
        <w:t xml:space="preserve">How you define your variables - this is probably a part of the introduction that students DON’T think about enough</w:t>
      </w:r>
    </w:p>
    <w:p>
      <w:pPr>
        <w:numPr>
          <w:ilvl w:val="0"/>
          <w:numId w:val="1014"/>
        </w:numPr>
      </w:pPr>
      <w:r>
        <w:t xml:space="preserve">How you measure or categorise your variables (IVs and DVs) - this is probably the single thing I look at first when peer-reviewing research!</w:t>
      </w:r>
    </w:p>
    <w:p>
      <w:pPr>
        <w:numPr>
          <w:ilvl w:val="0"/>
          <w:numId w:val="1014"/>
        </w:numPr>
      </w:pPr>
      <w:r>
        <w:t xml:space="preserve">How well your manipulation does what it claims to. Does you manipulation bring the thing it proposed to to life well?</w:t>
      </w:r>
    </w:p>
    <w:bookmarkEnd w:id="73"/>
    <w:bookmarkEnd w:id="74"/>
    <w:bookmarkStart w:id="76" w:name="questions"/>
    <w:p>
      <w:pPr>
        <w:pStyle w:val="Heading1"/>
      </w:pPr>
      <w:r>
        <w:t xml:space="preserve">Questions?</w:t>
      </w:r>
    </w:p>
    <w:bookmarkStart w:id="75" w:name="lab-activities"/>
    <w:p>
      <w:pPr>
        <w:pStyle w:val="Heading2"/>
      </w:pPr>
      <w:r>
        <w:t xml:space="preserve">Lab activities</w:t>
      </w:r>
    </w:p>
    <w:p>
      <w:pPr>
        <w:pStyle w:val="FirstParagraph"/>
      </w:pPr>
      <w:r>
        <w:t xml:space="preserve">Qualtrics (99% of you will use this!)- Full Support in Tomorrow’s labs (5mins)</w:t>
      </w:r>
    </w:p>
    <w:p>
      <w:pPr>
        <w:numPr>
          <w:ilvl w:val="0"/>
          <w:numId w:val="1015"/>
        </w:numPr>
      </w:pPr>
      <w:r>
        <w:t xml:space="preserve">Log in to an account with your Goldsmiths ID!!</w:t>
      </w:r>
    </w:p>
    <w:p>
      <w:pPr>
        <w:numPr>
          <w:ilvl w:val="0"/>
          <w:numId w:val="1015"/>
        </w:numPr>
      </w:pPr>
      <w:r>
        <w:t xml:space="preserve">10% of you will apply for the wrong type of account and be stuck for 2 weeks</w:t>
      </w:r>
    </w:p>
    <w:p>
      <w:pPr>
        <w:pStyle w:val="FirstParagraph"/>
      </w:pPr>
      <w:r>
        <w:t xml:space="preserve">Familiarise yourself with the Ethics Application process (10mins)</w:t>
      </w:r>
    </w:p>
    <w:p>
      <w:pPr>
        <w:pStyle w:val="BodyText"/>
      </w:pPr>
      <w:r>
        <w:t xml:space="preserve">Consider the steps required to bring your study to life! (the rest)</w:t>
      </w:r>
    </w:p>
    <w:bookmarkEnd w:id="75"/>
    <w:bookmarkEnd w:id="76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Lecture06</dc:title>
  <dc:creator>Dr Gordon Wright</dc:creator>
  <cp:keywords/>
  <dcterms:created xsi:type="dcterms:W3CDTF">2024-08-06T16:50:14Z</dcterms:created>
  <dcterms:modified xsi:type="dcterms:W3CDTF">2024-08-06T16:50:14Z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14 November,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Operationalising variables and bringing concepts to life</vt:lpwstr>
  </property>
  <property fmtid="{D5CDD505-2E9C-101B-9397-08002B2CF9AE}" pid="22" name="toc-title">
    <vt:lpwstr>Table of contents</vt:lpwstr>
  </property>
</Properties>
</file>